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BD5" w:rsidRDefault="0098576C">
      <w:pPr>
        <w:tabs>
          <w:tab w:val="left" w:pos="1304"/>
          <w:tab w:val="left" w:pos="1701"/>
        </w:tabs>
        <w:snapToGrid w:val="0"/>
        <w:ind w:left="1701" w:hanging="1701"/>
        <w:rPr>
          <w:rFonts w:ascii="Arial" w:hAnsi="Arial" w:cs="Arial"/>
          <w:sz w:val="22"/>
          <w:szCs w:val="22"/>
        </w:rPr>
      </w:pPr>
      <w:bookmarkStart w:id="0" w:name="OLE_LINK2"/>
      <w:bookmarkStart w:id="1" w:name="OLE_LINK1"/>
      <w:bookmarkStart w:id="2" w:name="_Ref71620620"/>
      <w:bookmarkStart w:id="3" w:name="_Ref124589665"/>
      <w:bookmarkStart w:id="4" w:name="_Ref124671424"/>
      <w:bookmarkStart w:id="5" w:name="_GoBack"/>
      <w:bookmarkEnd w:id="5"/>
      <w:r>
        <w:rPr>
          <w:rFonts w:ascii="Arial" w:hAnsi="Arial" w:cs="Arial"/>
          <w:b/>
          <w:bCs/>
          <w:sz w:val="22"/>
          <w:szCs w:val="22"/>
        </w:rPr>
        <w:t>3GPP TSG RAN WG1 #10</w:t>
      </w:r>
      <w:r>
        <w:rPr>
          <w:rFonts w:ascii="Arial" w:hAnsi="Arial" w:cs="Arial" w:hint="eastAsia"/>
          <w:b/>
          <w:bCs/>
          <w:sz w:val="22"/>
          <w:szCs w:val="22"/>
        </w:rPr>
        <w:t>4</w:t>
      </w:r>
      <w:r>
        <w:rPr>
          <w:rFonts w:ascii="Arial" w:hAnsi="Arial" w:cs="Arial"/>
          <w:b/>
          <w:bCs/>
          <w:sz w:val="22"/>
          <w:szCs w:val="22"/>
        </w:rPr>
        <w:t>e                                      R1-2100252</w:t>
      </w:r>
    </w:p>
    <w:p w:rsidR="00F17BD5" w:rsidRDefault="0098576C">
      <w:pPr>
        <w:tabs>
          <w:tab w:val="left" w:pos="1304"/>
          <w:tab w:val="left" w:pos="1701"/>
        </w:tabs>
        <w:snapToGrid w:val="0"/>
        <w:ind w:left="1701" w:hanging="1701"/>
        <w:rPr>
          <w:rFonts w:ascii="Arial" w:hAnsi="Arial" w:cs="Arial"/>
          <w:sz w:val="22"/>
          <w:szCs w:val="22"/>
        </w:rPr>
      </w:pPr>
      <w:r>
        <w:rPr>
          <w:rFonts w:ascii="Arial" w:hAnsi="Arial" w:cs="Arial"/>
          <w:b/>
          <w:bCs/>
          <w:sz w:val="22"/>
          <w:szCs w:val="22"/>
        </w:rPr>
        <w:t xml:space="preserve">e-Meeting, </w:t>
      </w:r>
      <w:r>
        <w:rPr>
          <w:rFonts w:ascii="Arial" w:hAnsi="Arial" w:cs="Arial" w:hint="eastAsia"/>
          <w:b/>
          <w:bCs/>
          <w:sz w:val="22"/>
          <w:szCs w:val="22"/>
        </w:rPr>
        <w:t>January</w:t>
      </w:r>
      <w:r>
        <w:rPr>
          <w:rFonts w:ascii="Arial" w:hAnsi="Arial" w:cs="Arial"/>
          <w:b/>
          <w:bCs/>
          <w:sz w:val="22"/>
          <w:szCs w:val="22"/>
        </w:rPr>
        <w:t xml:space="preserve"> </w:t>
      </w:r>
      <w:r>
        <w:rPr>
          <w:rFonts w:ascii="Arial" w:hAnsi="Arial" w:cs="Arial" w:hint="eastAsia"/>
          <w:b/>
          <w:bCs/>
          <w:sz w:val="22"/>
          <w:szCs w:val="22"/>
        </w:rPr>
        <w:t>25</w:t>
      </w:r>
      <w:r>
        <w:rPr>
          <w:rFonts w:ascii="Arial" w:hAnsi="Arial" w:cs="Arial"/>
          <w:b/>
          <w:bCs/>
          <w:sz w:val="22"/>
          <w:szCs w:val="22"/>
          <w:vertAlign w:val="superscript"/>
        </w:rPr>
        <w:t>th</w:t>
      </w:r>
      <w:r>
        <w:rPr>
          <w:rFonts w:ascii="Arial" w:hAnsi="Arial" w:cs="Arial"/>
          <w:b/>
          <w:bCs/>
          <w:sz w:val="22"/>
          <w:szCs w:val="22"/>
        </w:rPr>
        <w:t xml:space="preserve"> – </w:t>
      </w:r>
      <w:r>
        <w:rPr>
          <w:rFonts w:ascii="Arial" w:hAnsi="Arial" w:cs="Arial" w:hint="eastAsia"/>
          <w:b/>
          <w:bCs/>
          <w:sz w:val="22"/>
          <w:szCs w:val="22"/>
        </w:rPr>
        <w:t xml:space="preserve">February </w:t>
      </w:r>
      <w:r>
        <w:rPr>
          <w:rFonts w:ascii="Arial" w:hAnsi="Arial" w:cs="Arial"/>
          <w:b/>
          <w:bCs/>
          <w:sz w:val="22"/>
          <w:szCs w:val="22"/>
        </w:rPr>
        <w:t>5</w:t>
      </w:r>
      <w:r>
        <w:rPr>
          <w:rFonts w:ascii="Arial" w:hAnsi="Arial" w:cs="Arial"/>
          <w:b/>
          <w:bCs/>
          <w:sz w:val="22"/>
          <w:szCs w:val="22"/>
          <w:vertAlign w:val="superscript"/>
        </w:rPr>
        <w:t>th</w:t>
      </w:r>
      <w:r>
        <w:rPr>
          <w:rFonts w:ascii="Arial" w:hAnsi="Arial" w:cs="Arial"/>
          <w:b/>
          <w:bCs/>
          <w:sz w:val="22"/>
          <w:szCs w:val="22"/>
        </w:rPr>
        <w:t>, 202</w:t>
      </w:r>
      <w:r>
        <w:rPr>
          <w:rFonts w:ascii="Arial" w:hAnsi="Arial" w:cs="Arial" w:hint="eastAsia"/>
          <w:b/>
          <w:bCs/>
          <w:sz w:val="22"/>
          <w:szCs w:val="22"/>
        </w:rPr>
        <w:t>1</w:t>
      </w:r>
    </w:p>
    <w:p w:rsidR="00F17BD5" w:rsidRDefault="00F17BD5">
      <w:pPr>
        <w:tabs>
          <w:tab w:val="left" w:pos="1800"/>
          <w:tab w:val="right" w:pos="9360"/>
        </w:tabs>
        <w:snapToGrid w:val="0"/>
        <w:rPr>
          <w:rFonts w:ascii="Arial" w:hAnsi="Arial" w:cs="Arial"/>
          <w:b/>
          <w:sz w:val="22"/>
          <w:szCs w:val="22"/>
        </w:rPr>
      </w:pPr>
    </w:p>
    <w:p w:rsidR="00F17BD5" w:rsidRDefault="0098576C">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F17BD5" w:rsidRDefault="0098576C">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Discussion</w:t>
      </w:r>
      <w:r>
        <w:rPr>
          <w:rFonts w:ascii="Arial" w:hAnsi="Arial" w:cs="Arial"/>
          <w:b/>
          <w:sz w:val="22"/>
          <w:szCs w:val="22"/>
        </w:rPr>
        <w:t xml:space="preserve"> on additional enhancements for IoT-NTN</w:t>
      </w:r>
    </w:p>
    <w:p w:rsidR="00F17BD5" w:rsidRDefault="0098576C">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w:t>
      </w:r>
      <w:r>
        <w:rPr>
          <w:rFonts w:ascii="Arial" w:hAnsi="Arial" w:cs="Arial" w:hint="eastAsia"/>
          <w:b/>
          <w:sz w:val="22"/>
          <w:szCs w:val="22"/>
        </w:rPr>
        <w:t>15</w:t>
      </w:r>
      <w:r>
        <w:rPr>
          <w:rFonts w:ascii="Arial" w:hAnsi="Arial" w:cs="Arial"/>
          <w:b/>
          <w:sz w:val="22"/>
          <w:szCs w:val="22"/>
        </w:rPr>
        <w:t>.</w:t>
      </w:r>
      <w:r>
        <w:rPr>
          <w:rFonts w:ascii="Arial" w:hAnsi="Arial" w:cs="Arial" w:hint="eastAsia"/>
          <w:b/>
          <w:sz w:val="22"/>
          <w:szCs w:val="22"/>
        </w:rPr>
        <w:t>5</w:t>
      </w:r>
    </w:p>
    <w:p w:rsidR="00F17BD5" w:rsidRDefault="0098576C">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F17BD5" w:rsidRDefault="0098576C">
      <w:pPr>
        <w:pStyle w:val="1"/>
        <w:keepNext w:val="0"/>
        <w:keepLines w:val="0"/>
        <w:widowControl w:val="0"/>
        <w:numPr>
          <w:ilvl w:val="0"/>
          <w:numId w:val="3"/>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Introduction</w:t>
      </w:r>
    </w:p>
    <w:p w:rsidR="00F17BD5" w:rsidRDefault="0098576C">
      <w:pPr>
        <w:adjustRightInd w:val="0"/>
        <w:snapToGrid w:val="0"/>
        <w:rPr>
          <w:sz w:val="20"/>
          <w:szCs w:val="20"/>
        </w:rPr>
      </w:pPr>
      <w:r>
        <w:rPr>
          <w:sz w:val="20"/>
          <w:szCs w:val="20"/>
        </w:rPr>
        <w:t>In RAN</w:t>
      </w:r>
      <w:r>
        <w:rPr>
          <w:rFonts w:hint="eastAsia"/>
          <w:sz w:val="20"/>
          <w:szCs w:val="20"/>
        </w:rPr>
        <w:t xml:space="preserve">1#103e, </w:t>
      </w:r>
      <w:r>
        <w:rPr>
          <w:sz w:val="20"/>
          <w:szCs w:val="20"/>
        </w:rPr>
        <w:t xml:space="preserve">the SI for IoT-NTN </w:t>
      </w:r>
      <w:r>
        <w:rPr>
          <w:rFonts w:hint="eastAsia"/>
          <w:sz w:val="20"/>
          <w:szCs w:val="20"/>
        </w:rPr>
        <w:fldChar w:fldCharType="begin"/>
      </w:r>
      <w:r>
        <w:rPr>
          <w:sz w:val="20"/>
          <w:szCs w:val="20"/>
        </w:rPr>
        <w:instrText xml:space="preserve"> REF _Ref40282619 \r \h  \* MERGEFORMAT </w:instrText>
      </w:r>
      <w:r>
        <w:rPr>
          <w:rFonts w:hint="eastAsia"/>
          <w:sz w:val="20"/>
          <w:szCs w:val="20"/>
        </w:rPr>
      </w:r>
      <w:r>
        <w:rPr>
          <w:rFonts w:hint="eastAsia"/>
          <w:sz w:val="20"/>
          <w:szCs w:val="20"/>
        </w:rPr>
        <w:fldChar w:fldCharType="separate"/>
      </w:r>
      <w:r>
        <w:rPr>
          <w:sz w:val="20"/>
          <w:szCs w:val="20"/>
        </w:rPr>
        <w:t>[1]</w:t>
      </w:r>
      <w:r>
        <w:rPr>
          <w:rFonts w:hint="eastAsia"/>
          <w:sz w:val="20"/>
          <w:szCs w:val="20"/>
        </w:rPr>
        <w:fldChar w:fldCharType="end"/>
      </w:r>
      <w:r>
        <w:rPr>
          <w:sz w:val="20"/>
          <w:szCs w:val="20"/>
        </w:rPr>
        <w:t xml:space="preserve"> has been </w:t>
      </w:r>
      <w:r>
        <w:rPr>
          <w:rFonts w:hint="eastAsia"/>
          <w:sz w:val="20"/>
          <w:szCs w:val="20"/>
        </w:rPr>
        <w:t xml:space="preserve">discussed </w:t>
      </w:r>
      <w:r>
        <w:rPr>
          <w:sz w:val="20"/>
          <w:szCs w:val="20"/>
        </w:rPr>
        <w:t xml:space="preserve">with </w:t>
      </w:r>
      <w:r>
        <w:rPr>
          <w:rFonts w:hint="eastAsia"/>
          <w:sz w:val="20"/>
          <w:szCs w:val="20"/>
        </w:rPr>
        <w:t xml:space="preserve">agreements on the scenarios and UE assumptions. </w:t>
      </w:r>
      <w:r>
        <w:rPr>
          <w:sz w:val="20"/>
          <w:szCs w:val="20"/>
        </w:rPr>
        <w:t>In this contribution, identified issues includ</w:t>
      </w:r>
      <w:r>
        <w:rPr>
          <w:sz w:val="20"/>
          <w:szCs w:val="20"/>
        </w:rPr>
        <w:t xml:space="preserve">ing beam management and power consumption are discussed. </w:t>
      </w:r>
    </w:p>
    <w:p w:rsidR="00F17BD5" w:rsidRDefault="0098576C">
      <w:pPr>
        <w:pStyle w:val="1"/>
        <w:keepNext w:val="0"/>
        <w:keepLines w:val="0"/>
        <w:widowControl w:val="0"/>
        <w:numPr>
          <w:ilvl w:val="0"/>
          <w:numId w:val="3"/>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val="en-US"/>
        </w:rPr>
        <w:t xml:space="preserve">Technical issues to support </w:t>
      </w:r>
      <w:r>
        <w:rPr>
          <w:rFonts w:eastAsia="黑体" w:cs="Times New Roman"/>
          <w:b/>
          <w:bCs/>
          <w:sz w:val="28"/>
          <w:szCs w:val="30"/>
          <w:lang w:val="en-US"/>
        </w:rPr>
        <w:t>IoT over NTN</w:t>
      </w:r>
    </w:p>
    <w:p w:rsidR="00F17BD5" w:rsidRDefault="0098576C">
      <w:pPr>
        <w:pStyle w:val="1"/>
        <w:keepNext w:val="0"/>
        <w:keepLines w:val="0"/>
        <w:widowControl w:val="0"/>
        <w:numPr>
          <w:ilvl w:val="1"/>
          <w:numId w:val="3"/>
        </w:numPr>
        <w:pBdr>
          <w:top w:val="none" w:sz="0" w:space="0" w:color="auto"/>
        </w:pBdr>
        <w:tabs>
          <w:tab w:val="left" w:pos="432"/>
          <w:tab w:val="left" w:pos="4827"/>
        </w:tabs>
        <w:overflowPunct/>
        <w:snapToGrid w:val="0"/>
        <w:spacing w:beforeLines="50" w:before="156" w:afterLines="50" w:after="156"/>
        <w:ind w:left="851" w:hanging="851"/>
        <w:textAlignment w:val="auto"/>
        <w:rPr>
          <w:rFonts w:eastAsia="黑体"/>
          <w:b/>
          <w:bCs/>
          <w:sz w:val="24"/>
          <w:szCs w:val="24"/>
          <w:lang w:val="en-US"/>
        </w:rPr>
      </w:pPr>
      <w:r>
        <w:rPr>
          <w:rFonts w:eastAsia="黑体"/>
          <w:b/>
          <w:bCs/>
          <w:sz w:val="24"/>
          <w:szCs w:val="24"/>
          <w:lang w:val="en-US"/>
        </w:rPr>
        <w:t>Beam management</w:t>
      </w:r>
    </w:p>
    <w:p w:rsidR="00F17BD5" w:rsidRDefault="0098576C">
      <w:pPr>
        <w:adjustRightInd w:val="0"/>
        <w:snapToGrid w:val="0"/>
        <w:spacing w:beforeLines="50" w:before="156" w:afterLines="50" w:after="156"/>
        <w:rPr>
          <w:sz w:val="20"/>
          <w:szCs w:val="20"/>
        </w:rPr>
      </w:pPr>
      <w:r>
        <w:rPr>
          <w:sz w:val="20"/>
          <w:szCs w:val="20"/>
        </w:rPr>
        <w:t xml:space="preserve">In NTN deployment, the coverage of a NTN cell can be implemented by either a single or multiple satellite beams as illustrated in </w:t>
      </w:r>
      <w:r>
        <w:rPr>
          <w:sz w:val="20"/>
          <w:szCs w:val="20"/>
        </w:rPr>
        <w:fldChar w:fldCharType="begin"/>
      </w:r>
      <w:r>
        <w:rPr>
          <w:sz w:val="20"/>
          <w:szCs w:val="20"/>
        </w:rPr>
        <w:instrText xml:space="preserve"> REF _Ref61339436 \h  \* MERGEFORMAT </w:instrText>
      </w:r>
      <w:r>
        <w:rPr>
          <w:sz w:val="20"/>
          <w:szCs w:val="20"/>
        </w:rPr>
      </w:r>
      <w:r>
        <w:rPr>
          <w:sz w:val="20"/>
          <w:szCs w:val="20"/>
        </w:rPr>
        <w:fldChar w:fldCharType="separate"/>
      </w:r>
      <w:r>
        <w:rPr>
          <w:sz w:val="20"/>
          <w:szCs w:val="20"/>
        </w:rPr>
        <w:t>Figure 1</w:t>
      </w:r>
      <w:r>
        <w:rPr>
          <w:sz w:val="20"/>
          <w:szCs w:val="20"/>
        </w:rPr>
        <w:fldChar w:fldCharType="end"/>
      </w:r>
      <w:r>
        <w:rPr>
          <w:sz w:val="20"/>
          <w:szCs w:val="20"/>
        </w:rPr>
        <w:t>.</w:t>
      </w:r>
    </w:p>
    <w:p w:rsidR="00F17BD5" w:rsidRDefault="0098576C">
      <w:pPr>
        <w:keepNext/>
        <w:adjustRightInd w:val="0"/>
        <w:snapToGrid w:val="0"/>
        <w:spacing w:beforeLines="50" w:before="156" w:afterLines="50" w:after="156"/>
        <w:jc w:val="center"/>
        <w:rPr>
          <w:sz w:val="20"/>
          <w:szCs w:val="20"/>
        </w:rPr>
      </w:pPr>
      <w:r>
        <w:rPr>
          <w:noProof/>
          <w:sz w:val="20"/>
          <w:szCs w:val="20"/>
        </w:rPr>
        <w:drawing>
          <wp:inline distT="0" distB="0" distL="0" distR="0">
            <wp:extent cx="2730500" cy="18522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39298" cy="1858402"/>
                    </a:xfrm>
                    <a:prstGeom prst="rect">
                      <a:avLst/>
                    </a:prstGeom>
                    <a:noFill/>
                    <a:ln>
                      <a:noFill/>
                    </a:ln>
                  </pic:spPr>
                </pic:pic>
              </a:graphicData>
            </a:graphic>
          </wp:inline>
        </w:drawing>
      </w:r>
    </w:p>
    <w:p w:rsidR="00F17BD5" w:rsidRDefault="0098576C">
      <w:pPr>
        <w:pStyle w:val="a3"/>
        <w:jc w:val="center"/>
      </w:pPr>
      <w:bookmarkStart w:id="6" w:name="_Ref61339436"/>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6"/>
      <w:r>
        <w:rPr>
          <w:rFonts w:ascii="Times New Roman" w:hAnsi="Times New Roman" w:cs="Times New Roman"/>
        </w:rPr>
        <w:t xml:space="preserve"> Mapping between beams and Cell in </w:t>
      </w:r>
      <w:r>
        <w:rPr>
          <w:rFonts w:ascii="Times New Roman" w:hAnsi="Times New Roman" w:cs="Times New Roman"/>
        </w:rPr>
        <w:fldChar w:fldCharType="begin"/>
      </w:r>
      <w:r>
        <w:rPr>
          <w:rFonts w:ascii="Times New Roman" w:hAnsi="Times New Roman" w:cs="Times New Roman"/>
        </w:rPr>
        <w:instrText xml:space="preserve"> REF _Ref61339423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w:t>
      </w:r>
    </w:p>
    <w:p w:rsidR="00F17BD5" w:rsidRDefault="0098576C">
      <w:pPr>
        <w:adjustRightInd w:val="0"/>
        <w:snapToGrid w:val="0"/>
        <w:spacing w:beforeLines="50" w:before="156" w:afterLines="50" w:after="156"/>
        <w:rPr>
          <w:sz w:val="20"/>
          <w:szCs w:val="20"/>
        </w:rPr>
      </w:pPr>
      <w:r>
        <w:rPr>
          <w:sz w:val="20"/>
          <w:szCs w:val="20"/>
        </w:rPr>
        <w:t xml:space="preserve">In NR-NTN discussion, both </w:t>
      </w:r>
      <w:r>
        <w:rPr>
          <w:rFonts w:hint="eastAsia"/>
          <w:sz w:val="20"/>
          <w:szCs w:val="20"/>
        </w:rPr>
        <w:t xml:space="preserve">options </w:t>
      </w:r>
      <w:r>
        <w:rPr>
          <w:sz w:val="20"/>
          <w:szCs w:val="20"/>
        </w:rPr>
        <w:t>are supported</w:t>
      </w:r>
      <w:r>
        <w:rPr>
          <w:rFonts w:hint="eastAsia"/>
          <w:sz w:val="20"/>
          <w:szCs w:val="20"/>
        </w:rPr>
        <w:t xml:space="preserve">. However, from the viewpoint of signaling overhead and </w:t>
      </w:r>
      <w:r>
        <w:rPr>
          <w:sz w:val="20"/>
          <w:szCs w:val="20"/>
        </w:rPr>
        <w:t>power consumption</w:t>
      </w:r>
      <w:r>
        <w:rPr>
          <w:rFonts w:hint="eastAsia"/>
          <w:sz w:val="20"/>
          <w:szCs w:val="20"/>
        </w:rPr>
        <w:t>, option A is preferred. W</w:t>
      </w:r>
      <w:r>
        <w:rPr>
          <w:sz w:val="20"/>
          <w:szCs w:val="20"/>
        </w:rPr>
        <w:t xml:space="preserve">ith </w:t>
      </w:r>
      <w:r>
        <w:rPr>
          <w:rFonts w:hint="eastAsia"/>
          <w:sz w:val="20"/>
          <w:szCs w:val="20"/>
        </w:rPr>
        <w:t xml:space="preserve">the </w:t>
      </w:r>
      <w:r>
        <w:rPr>
          <w:sz w:val="20"/>
          <w:szCs w:val="20"/>
        </w:rPr>
        <w:t xml:space="preserve">movement of </w:t>
      </w:r>
      <w:r>
        <w:rPr>
          <w:rFonts w:hint="eastAsia"/>
          <w:sz w:val="20"/>
          <w:szCs w:val="20"/>
        </w:rPr>
        <w:t xml:space="preserve">the serving </w:t>
      </w:r>
      <w:r>
        <w:rPr>
          <w:sz w:val="20"/>
          <w:szCs w:val="20"/>
        </w:rPr>
        <w:t xml:space="preserve">satellite, </w:t>
      </w:r>
      <w:r>
        <w:rPr>
          <w:rFonts w:hint="eastAsia"/>
          <w:sz w:val="20"/>
          <w:szCs w:val="20"/>
        </w:rPr>
        <w:t xml:space="preserve">the signaling overhead and </w:t>
      </w:r>
      <w:r>
        <w:rPr>
          <w:sz w:val="20"/>
          <w:szCs w:val="20"/>
        </w:rPr>
        <w:t>power consumption</w:t>
      </w:r>
      <w:r>
        <w:rPr>
          <w:rFonts w:hint="eastAsia"/>
          <w:sz w:val="20"/>
          <w:szCs w:val="20"/>
        </w:rPr>
        <w:t xml:space="preserve"> will be higher if option B is used. </w:t>
      </w:r>
      <w:r>
        <w:rPr>
          <w:sz w:val="20"/>
          <w:szCs w:val="20"/>
        </w:rPr>
        <w:t xml:space="preserve">More specifically, </w:t>
      </w:r>
      <w:r>
        <w:rPr>
          <w:rFonts w:hint="eastAsia"/>
          <w:sz w:val="20"/>
          <w:szCs w:val="20"/>
        </w:rPr>
        <w:t xml:space="preserve">with the deployment in option B, (1) RRC_CONNECTED UEs have to handover more </w:t>
      </w:r>
      <w:r>
        <w:rPr>
          <w:sz w:val="20"/>
          <w:szCs w:val="20"/>
        </w:rPr>
        <w:t>frequent</w:t>
      </w:r>
      <w:r>
        <w:rPr>
          <w:rFonts w:hint="eastAsia"/>
          <w:sz w:val="20"/>
          <w:szCs w:val="20"/>
        </w:rPr>
        <w:t xml:space="preserve">ly, and (2) RRC_IDLE UEs have to </w:t>
      </w:r>
      <w:r>
        <w:t xml:space="preserve">perform measurements </w:t>
      </w:r>
      <w:r>
        <w:rPr>
          <w:rFonts w:hint="eastAsia"/>
        </w:rPr>
        <w:t xml:space="preserve">and carry out </w:t>
      </w:r>
      <w:r>
        <w:t>cell reselection</w:t>
      </w:r>
      <w:r>
        <w:rPr>
          <w:rFonts w:hint="eastAsia"/>
        </w:rPr>
        <w:t xml:space="preserve"> more </w:t>
      </w:r>
      <w:r>
        <w:rPr>
          <w:sz w:val="20"/>
          <w:szCs w:val="20"/>
        </w:rPr>
        <w:t>frequent</w:t>
      </w:r>
      <w:r>
        <w:rPr>
          <w:rFonts w:hint="eastAsia"/>
          <w:sz w:val="20"/>
          <w:szCs w:val="20"/>
        </w:rPr>
        <w:t>ly</w:t>
      </w:r>
      <w:r>
        <w:rPr>
          <w:sz w:val="20"/>
          <w:szCs w:val="20"/>
        </w:rPr>
        <w:t xml:space="preserve">. </w:t>
      </w:r>
    </w:p>
    <w:p w:rsidR="00F17BD5" w:rsidRDefault="0098576C">
      <w:pPr>
        <w:adjustRightInd w:val="0"/>
        <w:snapToGrid w:val="0"/>
        <w:spacing w:beforeLines="50" w:before="156" w:afterLines="50" w:after="156"/>
        <w:rPr>
          <w:sz w:val="20"/>
          <w:szCs w:val="20"/>
        </w:rPr>
      </w:pPr>
      <w:r>
        <w:rPr>
          <w:rFonts w:hint="eastAsia"/>
          <w:sz w:val="20"/>
          <w:szCs w:val="20"/>
        </w:rPr>
        <w:t>For IoT over NTN, another drawback of option B is related to connected mobility control. I</w:t>
      </w:r>
      <w:r>
        <w:rPr>
          <w:sz w:val="20"/>
          <w:szCs w:val="20"/>
        </w:rPr>
        <w:t>n legacy NB-IoT, connected mobility (e.g., handover and measurement report) is not supported</w:t>
      </w:r>
      <w:r>
        <w:rPr>
          <w:rFonts w:hint="eastAsia"/>
          <w:sz w:val="20"/>
          <w:szCs w:val="20"/>
        </w:rPr>
        <w:t>,</w:t>
      </w:r>
      <w:r>
        <w:rPr>
          <w:sz w:val="20"/>
          <w:szCs w:val="20"/>
        </w:rPr>
        <w:t xml:space="preserve"> since both NB-IoT UEs and eNBs are assumed to be generally stationa</w:t>
      </w:r>
      <w:r>
        <w:rPr>
          <w:sz w:val="20"/>
          <w:szCs w:val="20"/>
        </w:rPr>
        <w:t xml:space="preserve">ry on Earth. </w:t>
      </w:r>
      <w:r>
        <w:rPr>
          <w:rFonts w:hint="eastAsia"/>
          <w:sz w:val="20"/>
          <w:szCs w:val="20"/>
        </w:rPr>
        <w:t>However, this assumption does not hold in NTN scenarios. Moreover, repetition in UL/DL transmission is used in NB-IoT to achieve extreme coverage. In IoT over NTN, the supported repetition number is probably to be larger to combat the path los</w:t>
      </w:r>
      <w:r>
        <w:rPr>
          <w:rFonts w:hint="eastAsia"/>
          <w:sz w:val="20"/>
          <w:szCs w:val="20"/>
        </w:rPr>
        <w:t xml:space="preserve">s. </w:t>
      </w:r>
      <w:r>
        <w:rPr>
          <w:sz w:val="20"/>
          <w:szCs w:val="20"/>
        </w:rPr>
        <w:t>Thus</w:t>
      </w:r>
      <w:r>
        <w:rPr>
          <w:rFonts w:hint="eastAsia"/>
          <w:sz w:val="20"/>
          <w:szCs w:val="20"/>
        </w:rPr>
        <w:t xml:space="preserve"> the transmission interval may be longer than the service time of a satellite. If option B is used, the transmission between a UE and the gNB may be interrupt during serving cell changing. On the contrary, if option A is used, the transmission betwe</w:t>
      </w:r>
      <w:r>
        <w:rPr>
          <w:rFonts w:hint="eastAsia"/>
          <w:sz w:val="20"/>
          <w:szCs w:val="20"/>
        </w:rPr>
        <w:t xml:space="preserve">en a UE and the gNB can be handled by the same cell without RRC release and re-connection. Therefore, option A is preferable to </w:t>
      </w:r>
      <w:r>
        <w:rPr>
          <w:sz w:val="20"/>
          <w:szCs w:val="20"/>
        </w:rPr>
        <w:t xml:space="preserve">minimize the impact from high layer </w:t>
      </w:r>
      <w:r>
        <w:rPr>
          <w:rFonts w:hint="eastAsia"/>
          <w:sz w:val="20"/>
          <w:szCs w:val="20"/>
        </w:rPr>
        <w:t>and</w:t>
      </w:r>
      <w:r>
        <w:rPr>
          <w:sz w:val="20"/>
          <w:szCs w:val="20"/>
        </w:rPr>
        <w:t xml:space="preserve"> avoid the additional complexity.  </w:t>
      </w:r>
    </w:p>
    <w:p w:rsidR="00F17BD5" w:rsidRDefault="0098576C">
      <w:pPr>
        <w:adjustRightInd w:val="0"/>
        <w:snapToGrid w:val="0"/>
        <w:spacing w:beforeLines="50" w:before="156" w:afterLines="50" w:after="156"/>
        <w:rPr>
          <w:sz w:val="20"/>
          <w:szCs w:val="20"/>
        </w:rPr>
      </w:pPr>
      <w:r>
        <w:rPr>
          <w:rFonts w:hint="eastAsia"/>
          <w:sz w:val="20"/>
          <w:szCs w:val="20"/>
        </w:rPr>
        <w:t>S</w:t>
      </w:r>
      <w:r>
        <w:rPr>
          <w:sz w:val="20"/>
          <w:szCs w:val="20"/>
        </w:rPr>
        <w:t xml:space="preserve">ince </w:t>
      </w:r>
      <w:r>
        <w:rPr>
          <w:rFonts w:hint="eastAsia"/>
          <w:sz w:val="20"/>
          <w:szCs w:val="20"/>
        </w:rPr>
        <w:t>there is no concept of beam in legacy LTE</w:t>
      </w:r>
      <w:r>
        <w:rPr>
          <w:sz w:val="20"/>
          <w:szCs w:val="20"/>
        </w:rPr>
        <w:t xml:space="preserve"> inclu</w:t>
      </w:r>
      <w:r>
        <w:rPr>
          <w:sz w:val="20"/>
          <w:szCs w:val="20"/>
        </w:rPr>
        <w:t xml:space="preserve">ding NB-IoT, </w:t>
      </w:r>
      <w:r>
        <w:rPr>
          <w:rFonts w:hint="eastAsia"/>
          <w:sz w:val="20"/>
          <w:szCs w:val="20"/>
        </w:rPr>
        <w:t>following options can be considered to define beams in IoT over NTN scenarios</w:t>
      </w:r>
      <w:r>
        <w:rPr>
          <w:sz w:val="20"/>
          <w:szCs w:val="20"/>
        </w:rPr>
        <w:t>:</w:t>
      </w:r>
    </w:p>
    <w:p w:rsidR="00F17BD5" w:rsidRDefault="0098576C">
      <w:pPr>
        <w:pStyle w:val="af1"/>
        <w:numPr>
          <w:ilvl w:val="0"/>
          <w:numId w:val="4"/>
        </w:numPr>
        <w:adjustRightInd w:val="0"/>
        <w:snapToGrid w:val="0"/>
        <w:spacing w:beforeLines="50" w:before="156" w:afterLines="50" w:after="156"/>
        <w:ind w:firstLineChars="0"/>
        <w:rPr>
          <w:sz w:val="20"/>
          <w:szCs w:val="20"/>
        </w:rPr>
      </w:pPr>
      <w:r>
        <w:rPr>
          <w:rFonts w:hint="eastAsia"/>
          <w:sz w:val="20"/>
          <w:szCs w:val="20"/>
        </w:rPr>
        <w:t>Since IoT over NTN is expected to be deployed independently from a terrestrial network (TN), the physical cell ID (PCI) should be independently allocated as well. I</w:t>
      </w:r>
      <w:r>
        <w:rPr>
          <w:rFonts w:hint="eastAsia"/>
          <w:sz w:val="20"/>
          <w:szCs w:val="20"/>
        </w:rPr>
        <w:t xml:space="preserve">n this case, beam ID can be considered as a new part to be integrated into the PCI. </w:t>
      </w:r>
      <w:r>
        <w:rPr>
          <w:sz w:val="20"/>
          <w:szCs w:val="20"/>
        </w:rPr>
        <w:t>Moreover, i</w:t>
      </w:r>
      <w:r>
        <w:rPr>
          <w:rFonts w:hint="eastAsia"/>
          <w:sz w:val="20"/>
          <w:szCs w:val="20"/>
        </w:rPr>
        <w:t>n IoT over NTN, the cell deployment is sparse</w:t>
      </w:r>
      <w:r>
        <w:rPr>
          <w:sz w:val="20"/>
          <w:szCs w:val="20"/>
        </w:rPr>
        <w:t xml:space="preserve"> due to the </w:t>
      </w:r>
      <w:r>
        <w:rPr>
          <w:rFonts w:hint="eastAsia"/>
          <w:sz w:val="20"/>
          <w:szCs w:val="20"/>
        </w:rPr>
        <w:t>larger coverage</w:t>
      </w:r>
      <w:r>
        <w:rPr>
          <w:sz w:val="20"/>
          <w:szCs w:val="20"/>
        </w:rPr>
        <w:t xml:space="preserve">, and the supported </w:t>
      </w:r>
      <w:r>
        <w:rPr>
          <w:rFonts w:hint="eastAsia"/>
          <w:sz w:val="20"/>
          <w:szCs w:val="20"/>
        </w:rPr>
        <w:t xml:space="preserve">PCIs </w:t>
      </w:r>
      <w:r>
        <w:rPr>
          <w:sz w:val="20"/>
          <w:szCs w:val="20"/>
        </w:rPr>
        <w:t xml:space="preserve">index </w:t>
      </w:r>
      <w:r>
        <w:rPr>
          <w:rFonts w:hint="eastAsia"/>
          <w:sz w:val="20"/>
          <w:szCs w:val="20"/>
        </w:rPr>
        <w:t>can be re-interpreted to include beam IDs within a cell.</w:t>
      </w:r>
    </w:p>
    <w:p w:rsidR="00F17BD5" w:rsidRDefault="0098576C">
      <w:pPr>
        <w:pStyle w:val="af1"/>
        <w:numPr>
          <w:ilvl w:val="0"/>
          <w:numId w:val="4"/>
        </w:numPr>
        <w:adjustRightInd w:val="0"/>
        <w:snapToGrid w:val="0"/>
        <w:spacing w:beforeLines="50" w:before="156" w:afterLines="50" w:after="156"/>
        <w:ind w:firstLineChars="0"/>
        <w:rPr>
          <w:sz w:val="20"/>
          <w:szCs w:val="20"/>
        </w:rPr>
      </w:pPr>
      <w:r>
        <w:rPr>
          <w:rFonts w:hint="eastAsia"/>
          <w:sz w:val="20"/>
          <w:szCs w:val="20"/>
        </w:rPr>
        <w:lastRenderedPageBreak/>
        <w:t>I</w:t>
      </w:r>
      <w:r>
        <w:rPr>
          <w:rFonts w:hint="eastAsia"/>
          <w:sz w:val="20"/>
          <w:szCs w:val="20"/>
        </w:rPr>
        <w:t xml:space="preserve">n IoT over NTN scenarios, a key performance </w:t>
      </w:r>
      <w:r>
        <w:rPr>
          <w:sz w:val="20"/>
          <w:szCs w:val="20"/>
        </w:rPr>
        <w:t>criteria</w:t>
      </w:r>
      <w:r>
        <w:rPr>
          <w:rFonts w:hint="eastAsia"/>
          <w:sz w:val="20"/>
          <w:szCs w:val="20"/>
        </w:rPr>
        <w:t xml:space="preserve"> is coverage, and the NB-IoT PBCH repetition can be inherited to combat large path loss. The NB-IoT PBCH is transmitted with a period of 640ms. Each 640ms period contains 8 sub-period of 80ms. In each 80m</w:t>
      </w:r>
      <w:r>
        <w:rPr>
          <w:rFonts w:hint="eastAsia"/>
          <w:sz w:val="20"/>
          <w:szCs w:val="20"/>
        </w:rPr>
        <w:t>s sub-period, an identical 1ms PBCH is transmitted in the subframe #0 of each radio frame. Based on high LOS probability and GNSS capability on UE side, extra cover code can be applied to PBCH repetitions to identify beams. The scrambling code applied on P</w:t>
      </w:r>
      <w:r>
        <w:rPr>
          <w:rFonts w:hint="eastAsia"/>
          <w:sz w:val="20"/>
          <w:szCs w:val="20"/>
        </w:rPr>
        <w:t>BCH or PBCH CRC can also be used to carry beam ID.</w:t>
      </w:r>
    </w:p>
    <w:p w:rsidR="00F17BD5" w:rsidRDefault="0098576C">
      <w:pPr>
        <w:pStyle w:val="af1"/>
        <w:numPr>
          <w:ilvl w:val="0"/>
          <w:numId w:val="4"/>
        </w:numPr>
        <w:adjustRightInd w:val="0"/>
        <w:snapToGrid w:val="0"/>
        <w:spacing w:beforeLines="50" w:before="156" w:afterLines="50" w:after="156"/>
        <w:ind w:firstLineChars="0"/>
        <w:rPr>
          <w:strike/>
          <w:sz w:val="20"/>
          <w:szCs w:val="20"/>
        </w:rPr>
      </w:pPr>
      <w:r>
        <w:rPr>
          <w:sz w:val="20"/>
          <w:szCs w:val="20"/>
        </w:rPr>
        <w:t>Furthe</w:t>
      </w:r>
      <w:r>
        <w:rPr>
          <w:sz w:val="20"/>
          <w:szCs w:val="20"/>
        </w:rPr>
        <w:t xml:space="preserve">rmore, following the NR discussion, the beam may also be mapped to certain frequency resource, e.g., anchor/non-anchor carrier for NB-IoT and narrowband for eMTC. And scheduling in beam specific way </w:t>
      </w:r>
      <w:r>
        <w:rPr>
          <w:sz w:val="20"/>
          <w:szCs w:val="20"/>
        </w:rPr>
        <w:t>will be implemented by update the frequency resource.</w:t>
      </w:r>
    </w:p>
    <w:p w:rsidR="00F17BD5" w:rsidRDefault="0098576C">
      <w:pPr>
        <w:adjustRightInd w:val="0"/>
        <w:snapToGrid w:val="0"/>
        <w:spacing w:beforeLines="50" w:before="156" w:afterLines="50" w:after="156"/>
        <w:rPr>
          <w:sz w:val="20"/>
          <w:szCs w:val="20"/>
        </w:rPr>
      </w:pPr>
      <w:r>
        <w:rPr>
          <w:rFonts w:hint="eastAsia"/>
          <w:sz w:val="20"/>
          <w:szCs w:val="20"/>
        </w:rPr>
        <w:t xml:space="preserve">In addition, </w:t>
      </w:r>
      <w:r>
        <w:rPr>
          <w:sz w:val="20"/>
          <w:szCs w:val="20"/>
        </w:rPr>
        <w:t xml:space="preserve">in case of transmission with larger repetition, the </w:t>
      </w:r>
      <w:r>
        <w:rPr>
          <w:rFonts w:hint="eastAsia"/>
          <w:sz w:val="20"/>
          <w:szCs w:val="20"/>
        </w:rPr>
        <w:t>beam switching may occur during the transmission time interval</w:t>
      </w:r>
      <w:r>
        <w:rPr>
          <w:sz w:val="20"/>
          <w:szCs w:val="20"/>
        </w:rPr>
        <w:t>, which is different as NR. Then, for IoT-NTN, corresponding enhancements s</w:t>
      </w:r>
      <w:r>
        <w:rPr>
          <w:sz w:val="20"/>
          <w:szCs w:val="20"/>
        </w:rPr>
        <w:t>hould also be studied to ensure the performance</w:t>
      </w:r>
      <w:r>
        <w:rPr>
          <w:rFonts w:hint="eastAsia"/>
          <w:sz w:val="20"/>
          <w:szCs w:val="20"/>
        </w:rPr>
        <w:t>.</w:t>
      </w:r>
    </w:p>
    <w:p w:rsidR="00F17BD5" w:rsidRDefault="0098576C">
      <w:pPr>
        <w:adjustRightInd w:val="0"/>
        <w:snapToGrid w:val="0"/>
        <w:spacing w:afterLines="50" w:after="156"/>
        <w:rPr>
          <w:bCs/>
          <w:i/>
          <w:kern w:val="0"/>
          <w:sz w:val="20"/>
          <w:szCs w:val="20"/>
        </w:rPr>
      </w:pPr>
      <w:r>
        <w:rPr>
          <w:b/>
          <w:i/>
          <w:kern w:val="0"/>
          <w:sz w:val="20"/>
          <w:szCs w:val="20"/>
          <w:lang w:val="en-GB"/>
        </w:rPr>
        <w:t xml:space="preserve">Proposal </w:t>
      </w:r>
      <w:r>
        <w:rPr>
          <w:rFonts w:hint="eastAsia"/>
          <w:b/>
          <w:i/>
          <w:kern w:val="0"/>
          <w:sz w:val="20"/>
          <w:szCs w:val="20"/>
        </w:rPr>
        <w:t>1</w:t>
      </w:r>
      <w:r>
        <w:rPr>
          <w:b/>
          <w:i/>
          <w:kern w:val="0"/>
          <w:sz w:val="20"/>
          <w:szCs w:val="20"/>
          <w:lang w:val="en-GB"/>
        </w:rPr>
        <w:t xml:space="preserve">: </w:t>
      </w:r>
      <w:r>
        <w:rPr>
          <w:rFonts w:hint="eastAsia"/>
          <w:i/>
          <w:kern w:val="0"/>
          <w:sz w:val="20"/>
          <w:szCs w:val="20"/>
        </w:rPr>
        <w:t>M</w:t>
      </w:r>
      <w:r>
        <w:rPr>
          <w:i/>
          <w:kern w:val="0"/>
          <w:sz w:val="20"/>
          <w:szCs w:val="20"/>
          <w:lang w:val="en-GB"/>
        </w:rPr>
        <w:t>ultiple</w:t>
      </w:r>
      <w:r>
        <w:rPr>
          <w:bCs/>
          <w:i/>
          <w:kern w:val="0"/>
          <w:sz w:val="20"/>
          <w:szCs w:val="20"/>
        </w:rPr>
        <w:t xml:space="preserve"> beams per</w:t>
      </w:r>
      <w:r>
        <w:rPr>
          <w:bCs/>
          <w:i/>
          <w:kern w:val="0"/>
          <w:sz w:val="20"/>
          <w:szCs w:val="20"/>
          <w:lang w:val="en-GB"/>
        </w:rPr>
        <w:t xml:space="preserve"> </w:t>
      </w:r>
      <w:r>
        <w:rPr>
          <w:bCs/>
          <w:i/>
          <w:kern w:val="0"/>
          <w:sz w:val="20"/>
          <w:szCs w:val="20"/>
        </w:rPr>
        <w:t xml:space="preserve">cell should be </w:t>
      </w:r>
      <w:r>
        <w:rPr>
          <w:rFonts w:hint="eastAsia"/>
          <w:bCs/>
          <w:i/>
          <w:kern w:val="0"/>
          <w:sz w:val="20"/>
          <w:szCs w:val="20"/>
        </w:rPr>
        <w:t xml:space="preserve">supported </w:t>
      </w:r>
      <w:r>
        <w:rPr>
          <w:bCs/>
          <w:i/>
          <w:kern w:val="0"/>
          <w:sz w:val="20"/>
          <w:szCs w:val="20"/>
        </w:rPr>
        <w:t>with potential enhancement to enable the beam management for IoT</w:t>
      </w:r>
      <w:r>
        <w:rPr>
          <w:rFonts w:hint="eastAsia"/>
          <w:bCs/>
          <w:i/>
          <w:kern w:val="0"/>
          <w:sz w:val="20"/>
          <w:szCs w:val="20"/>
        </w:rPr>
        <w:t xml:space="preserve"> </w:t>
      </w:r>
      <w:r>
        <w:rPr>
          <w:rFonts w:hint="eastAsia"/>
          <w:i/>
          <w:kern w:val="0"/>
          <w:sz w:val="20"/>
          <w:szCs w:val="20"/>
        </w:rPr>
        <w:t xml:space="preserve">over </w:t>
      </w:r>
      <w:r>
        <w:rPr>
          <w:bCs/>
          <w:i/>
          <w:kern w:val="0"/>
          <w:sz w:val="20"/>
          <w:szCs w:val="20"/>
        </w:rPr>
        <w:t>NTN.</w:t>
      </w:r>
    </w:p>
    <w:p w:rsidR="00F17BD5" w:rsidRDefault="0098576C">
      <w:pPr>
        <w:adjustRightInd w:val="0"/>
        <w:snapToGrid w:val="0"/>
        <w:spacing w:afterLines="50" w:after="156"/>
        <w:rPr>
          <w:i/>
          <w:kern w:val="0"/>
          <w:sz w:val="20"/>
          <w:szCs w:val="20"/>
        </w:rPr>
      </w:pPr>
      <w:r>
        <w:rPr>
          <w:b/>
          <w:i/>
          <w:kern w:val="0"/>
          <w:sz w:val="20"/>
          <w:szCs w:val="20"/>
          <w:lang w:val="en-GB"/>
        </w:rPr>
        <w:t xml:space="preserve">Proposal </w:t>
      </w:r>
      <w:r>
        <w:rPr>
          <w:rFonts w:hint="eastAsia"/>
          <w:b/>
          <w:i/>
          <w:kern w:val="0"/>
          <w:sz w:val="20"/>
          <w:szCs w:val="20"/>
        </w:rPr>
        <w:t>2</w:t>
      </w:r>
      <w:r>
        <w:rPr>
          <w:b/>
          <w:i/>
          <w:kern w:val="0"/>
          <w:sz w:val="20"/>
          <w:szCs w:val="20"/>
          <w:lang w:val="en-GB"/>
        </w:rPr>
        <w:t xml:space="preserve">: </w:t>
      </w:r>
      <w:r>
        <w:rPr>
          <w:rFonts w:hint="eastAsia"/>
          <w:i/>
          <w:kern w:val="0"/>
          <w:sz w:val="20"/>
          <w:szCs w:val="20"/>
          <w:lang w:val="en-GB"/>
        </w:rPr>
        <w:t>Mechanism</w:t>
      </w:r>
      <w:r>
        <w:rPr>
          <w:rFonts w:hint="eastAsia"/>
          <w:i/>
          <w:kern w:val="0"/>
          <w:sz w:val="20"/>
          <w:szCs w:val="20"/>
        </w:rPr>
        <w:t>s</w:t>
      </w:r>
      <w:r>
        <w:rPr>
          <w:rFonts w:hint="eastAsia"/>
          <w:i/>
          <w:kern w:val="0"/>
          <w:sz w:val="20"/>
          <w:szCs w:val="20"/>
          <w:lang w:val="en-GB"/>
        </w:rPr>
        <w:t xml:space="preserve"> to enable the </w:t>
      </w:r>
      <w:r>
        <w:rPr>
          <w:i/>
          <w:kern w:val="0"/>
          <w:sz w:val="20"/>
          <w:szCs w:val="20"/>
        </w:rPr>
        <w:t>b</w:t>
      </w:r>
      <w:r>
        <w:rPr>
          <w:rFonts w:hint="eastAsia"/>
          <w:i/>
          <w:kern w:val="0"/>
          <w:sz w:val="20"/>
          <w:szCs w:val="20"/>
        </w:rPr>
        <w:t xml:space="preserve">eam identification in IoT over NTN should be </w:t>
      </w:r>
      <w:r>
        <w:rPr>
          <w:i/>
          <w:kern w:val="0"/>
          <w:sz w:val="20"/>
          <w:szCs w:val="20"/>
        </w:rPr>
        <w:t xml:space="preserve">considered via </w:t>
      </w:r>
      <w:r>
        <w:rPr>
          <w:rFonts w:hint="eastAsia"/>
          <w:i/>
          <w:kern w:val="0"/>
          <w:sz w:val="20"/>
          <w:szCs w:val="20"/>
        </w:rPr>
        <w:t>integrat</w:t>
      </w:r>
      <w:r>
        <w:rPr>
          <w:i/>
          <w:kern w:val="0"/>
          <w:sz w:val="20"/>
          <w:szCs w:val="20"/>
        </w:rPr>
        <w:t>ing</w:t>
      </w:r>
      <w:r>
        <w:rPr>
          <w:rFonts w:hint="eastAsia"/>
          <w:i/>
          <w:kern w:val="0"/>
          <w:sz w:val="20"/>
          <w:szCs w:val="20"/>
        </w:rPr>
        <w:t xml:space="preserve"> beam ID into PCI</w:t>
      </w:r>
      <w:r>
        <w:rPr>
          <w:i/>
          <w:kern w:val="0"/>
          <w:sz w:val="20"/>
          <w:szCs w:val="20"/>
        </w:rPr>
        <w:t xml:space="preserve"> or </w:t>
      </w:r>
      <w:r>
        <w:rPr>
          <w:rFonts w:hint="eastAsia"/>
          <w:i/>
          <w:kern w:val="0"/>
          <w:sz w:val="20"/>
          <w:szCs w:val="20"/>
        </w:rPr>
        <w:t>applying cover code on repetitions of PBCH.</w:t>
      </w:r>
    </w:p>
    <w:p w:rsidR="00F17BD5" w:rsidRDefault="0098576C">
      <w:pPr>
        <w:adjustRightInd w:val="0"/>
        <w:snapToGrid w:val="0"/>
        <w:spacing w:afterLines="50" w:after="156"/>
        <w:rPr>
          <w:i/>
          <w:kern w:val="0"/>
          <w:sz w:val="20"/>
          <w:szCs w:val="20"/>
        </w:rPr>
      </w:pPr>
      <w:r>
        <w:rPr>
          <w:b/>
          <w:i/>
          <w:kern w:val="0"/>
          <w:sz w:val="20"/>
          <w:szCs w:val="20"/>
          <w:lang w:val="en-GB"/>
        </w:rPr>
        <w:t xml:space="preserve">Proposal </w:t>
      </w:r>
      <w:r>
        <w:rPr>
          <w:b/>
          <w:i/>
          <w:kern w:val="0"/>
          <w:sz w:val="20"/>
          <w:szCs w:val="20"/>
        </w:rPr>
        <w:t>3</w:t>
      </w:r>
      <w:r>
        <w:rPr>
          <w:b/>
          <w:i/>
          <w:kern w:val="0"/>
          <w:sz w:val="20"/>
          <w:szCs w:val="20"/>
          <w:lang w:val="en-GB"/>
        </w:rPr>
        <w:t xml:space="preserve">: </w:t>
      </w:r>
      <w:r>
        <w:rPr>
          <w:rFonts w:hint="eastAsia"/>
          <w:i/>
          <w:kern w:val="0"/>
          <w:sz w:val="20"/>
          <w:szCs w:val="20"/>
        </w:rPr>
        <w:t xml:space="preserve">In IoT over NTN, mapping between beam and frequency resource should be studied. </w:t>
      </w:r>
    </w:p>
    <w:p w:rsidR="00F17BD5" w:rsidRDefault="0098576C">
      <w:pPr>
        <w:adjustRightInd w:val="0"/>
        <w:snapToGrid w:val="0"/>
        <w:spacing w:afterLines="50" w:after="156"/>
        <w:rPr>
          <w:i/>
          <w:kern w:val="0"/>
          <w:sz w:val="20"/>
          <w:szCs w:val="20"/>
        </w:rPr>
      </w:pPr>
      <w:r>
        <w:rPr>
          <w:b/>
          <w:i/>
          <w:kern w:val="0"/>
          <w:sz w:val="20"/>
          <w:szCs w:val="20"/>
          <w:lang w:val="en-GB"/>
        </w:rPr>
        <w:t xml:space="preserve">Proposal </w:t>
      </w:r>
      <w:r>
        <w:rPr>
          <w:b/>
          <w:i/>
          <w:kern w:val="0"/>
          <w:sz w:val="20"/>
          <w:szCs w:val="20"/>
        </w:rPr>
        <w:t>4</w:t>
      </w:r>
      <w:r>
        <w:rPr>
          <w:b/>
          <w:i/>
          <w:kern w:val="0"/>
          <w:sz w:val="20"/>
          <w:szCs w:val="20"/>
          <w:lang w:val="en-GB"/>
        </w:rPr>
        <w:t xml:space="preserve">: </w:t>
      </w:r>
      <w:r>
        <w:rPr>
          <w:rFonts w:hint="eastAsia"/>
          <w:i/>
          <w:kern w:val="0"/>
          <w:sz w:val="20"/>
          <w:szCs w:val="20"/>
        </w:rPr>
        <w:t>In IoT over NTN</w:t>
      </w:r>
      <w:r>
        <w:rPr>
          <w:rFonts w:hint="eastAsia"/>
          <w:i/>
          <w:kern w:val="0"/>
          <w:sz w:val="20"/>
          <w:szCs w:val="20"/>
        </w:rPr>
        <w:t xml:space="preserve">, enhanced repeated transmission to tackle the interrupt due to beam switch should be studied. </w:t>
      </w:r>
    </w:p>
    <w:p w:rsidR="00F17BD5" w:rsidRDefault="0098576C">
      <w:pPr>
        <w:pStyle w:val="1"/>
        <w:keepNext w:val="0"/>
        <w:keepLines w:val="0"/>
        <w:widowControl w:val="0"/>
        <w:numPr>
          <w:ilvl w:val="1"/>
          <w:numId w:val="3"/>
        </w:numPr>
        <w:pBdr>
          <w:top w:val="none" w:sz="0" w:space="0" w:color="auto"/>
        </w:pBdr>
        <w:tabs>
          <w:tab w:val="left" w:pos="432"/>
          <w:tab w:val="left" w:pos="4827"/>
        </w:tabs>
        <w:overflowPunct/>
        <w:snapToGrid w:val="0"/>
        <w:spacing w:beforeLines="50" w:before="156" w:afterLines="50" w:after="156"/>
        <w:ind w:left="851" w:hanging="851"/>
        <w:textAlignment w:val="auto"/>
        <w:rPr>
          <w:rFonts w:eastAsia="黑体"/>
          <w:b/>
          <w:bCs/>
          <w:sz w:val="24"/>
          <w:szCs w:val="24"/>
          <w:lang w:val="en-US"/>
        </w:rPr>
      </w:pPr>
      <w:r>
        <w:rPr>
          <w:rFonts w:eastAsia="黑体"/>
          <w:b/>
          <w:bCs/>
          <w:sz w:val="24"/>
          <w:szCs w:val="24"/>
          <w:lang w:val="en-US"/>
        </w:rPr>
        <w:t>Polarization indication</w:t>
      </w:r>
    </w:p>
    <w:p w:rsidR="00F17BD5" w:rsidRDefault="0098576C">
      <w:r>
        <w:t>In the NR-NTN discussion, the intention for enabling the polarization indication is to fix the potential polarization loss for link budg</w:t>
      </w:r>
      <w:r>
        <w:t>et due to the mismatch among UE and satellite configuration. The benefits will be achievable once various UE type with different polarization is supported, otherwise, if only one polarization, e.g., linear without capability for adjustment is considered fo</w:t>
      </w:r>
      <w:r>
        <w:t>r IoT UE, the needs for such kind of indication is limited.</w:t>
      </w:r>
    </w:p>
    <w:p w:rsidR="00F17BD5" w:rsidRDefault="0098576C">
      <w:pPr>
        <w:adjustRightInd w:val="0"/>
        <w:snapToGrid w:val="0"/>
        <w:spacing w:beforeLines="50" w:before="156" w:afterLines="50" w:after="156"/>
        <w:rPr>
          <w:i/>
          <w:kern w:val="0"/>
          <w:sz w:val="20"/>
          <w:szCs w:val="20"/>
        </w:rPr>
      </w:pPr>
      <w:r>
        <w:rPr>
          <w:b/>
          <w:i/>
          <w:kern w:val="0"/>
          <w:sz w:val="20"/>
          <w:szCs w:val="20"/>
          <w:lang w:val="en-GB"/>
        </w:rPr>
        <w:t xml:space="preserve">Proposal </w:t>
      </w:r>
      <w:r>
        <w:rPr>
          <w:b/>
          <w:i/>
          <w:kern w:val="0"/>
          <w:sz w:val="20"/>
          <w:szCs w:val="20"/>
        </w:rPr>
        <w:t>5</w:t>
      </w:r>
      <w:r>
        <w:rPr>
          <w:b/>
          <w:i/>
          <w:kern w:val="0"/>
          <w:sz w:val="20"/>
          <w:szCs w:val="20"/>
          <w:lang w:val="en-GB"/>
        </w:rPr>
        <w:t xml:space="preserve">: </w:t>
      </w:r>
      <w:r>
        <w:rPr>
          <w:i/>
          <w:kern w:val="0"/>
          <w:sz w:val="20"/>
          <w:szCs w:val="20"/>
        </w:rPr>
        <w:t>Indication of polarization is only enabled once the various polarization mode is supported at UE side.</w:t>
      </w:r>
    </w:p>
    <w:p w:rsidR="00F17BD5" w:rsidRDefault="0098576C">
      <w:pPr>
        <w:adjustRightInd w:val="0"/>
        <w:snapToGrid w:val="0"/>
        <w:spacing w:beforeLines="50" w:before="156" w:afterLines="50" w:after="156"/>
      </w:pPr>
      <w:r>
        <w:rPr>
          <w:rFonts w:hint="eastAsia"/>
        </w:rPr>
        <w:t>T</w:t>
      </w:r>
      <w:r>
        <w:t xml:space="preserve">hen, once the solution is considered, similar approaches defined in NR can be directly reused with details listed in </w:t>
      </w:r>
      <w:r>
        <w:fldChar w:fldCharType="begin"/>
      </w:r>
      <w:r>
        <w:instrText xml:space="preserve"> REF _Ref61368834 \r \h </w:instrText>
      </w:r>
      <w:r>
        <w:fldChar w:fldCharType="separate"/>
      </w:r>
      <w:r>
        <w:t>[3]</w:t>
      </w:r>
      <w:r>
        <w:fldChar w:fldCharType="end"/>
      </w:r>
      <w:r>
        <w:t xml:space="preserve">. </w:t>
      </w:r>
    </w:p>
    <w:p w:rsidR="00F17BD5" w:rsidRDefault="0098576C">
      <w:pPr>
        <w:adjustRightInd w:val="0"/>
        <w:snapToGrid w:val="0"/>
        <w:spacing w:beforeLines="50" w:before="156" w:afterLines="50" w:after="156"/>
        <w:rPr>
          <w:i/>
          <w:kern w:val="0"/>
          <w:sz w:val="20"/>
          <w:szCs w:val="20"/>
        </w:rPr>
      </w:pPr>
      <w:r>
        <w:rPr>
          <w:b/>
          <w:i/>
          <w:kern w:val="0"/>
          <w:sz w:val="20"/>
          <w:szCs w:val="20"/>
          <w:lang w:val="en-GB"/>
        </w:rPr>
        <w:t xml:space="preserve">Proposal </w:t>
      </w:r>
      <w:r>
        <w:rPr>
          <w:b/>
          <w:i/>
          <w:kern w:val="0"/>
          <w:sz w:val="20"/>
          <w:szCs w:val="20"/>
        </w:rPr>
        <w:t>6</w:t>
      </w:r>
      <w:r>
        <w:rPr>
          <w:b/>
          <w:i/>
          <w:kern w:val="0"/>
          <w:sz w:val="20"/>
          <w:szCs w:val="20"/>
          <w:lang w:val="en-GB"/>
        </w:rPr>
        <w:t xml:space="preserve">: </w:t>
      </w:r>
      <w:r>
        <w:rPr>
          <w:i/>
          <w:kern w:val="0"/>
          <w:sz w:val="20"/>
          <w:szCs w:val="20"/>
          <w:lang w:val="en-GB"/>
        </w:rPr>
        <w:t>The mechanism defined in NR-NT</w:t>
      </w:r>
      <w:r>
        <w:rPr>
          <w:i/>
          <w:kern w:val="0"/>
          <w:sz w:val="20"/>
          <w:szCs w:val="20"/>
          <w:lang w:val="en-GB"/>
        </w:rPr>
        <w:t>N can be reused for IoT-NTN if indication of polarization is enabled.</w:t>
      </w:r>
    </w:p>
    <w:p w:rsidR="00F17BD5" w:rsidRDefault="0098576C">
      <w:pPr>
        <w:pStyle w:val="1"/>
        <w:keepNext w:val="0"/>
        <w:keepLines w:val="0"/>
        <w:widowControl w:val="0"/>
        <w:numPr>
          <w:ilvl w:val="1"/>
          <w:numId w:val="3"/>
        </w:numPr>
        <w:pBdr>
          <w:top w:val="none" w:sz="0" w:space="0" w:color="auto"/>
        </w:pBdr>
        <w:tabs>
          <w:tab w:val="left" w:pos="432"/>
          <w:tab w:val="left" w:pos="4827"/>
        </w:tabs>
        <w:overflowPunct/>
        <w:snapToGrid w:val="0"/>
        <w:spacing w:beforeLines="50" w:before="156" w:afterLines="50" w:after="156"/>
        <w:ind w:left="851" w:hanging="851"/>
        <w:textAlignment w:val="auto"/>
        <w:rPr>
          <w:rFonts w:eastAsia="黑体"/>
          <w:b/>
          <w:bCs/>
          <w:sz w:val="24"/>
          <w:szCs w:val="24"/>
          <w:lang w:val="en-US"/>
        </w:rPr>
      </w:pPr>
      <w:r>
        <w:rPr>
          <w:rFonts w:eastAsia="黑体"/>
          <w:b/>
          <w:bCs/>
          <w:sz w:val="24"/>
          <w:szCs w:val="24"/>
          <w:lang w:val="en-US"/>
        </w:rPr>
        <w:t>Power consumption</w:t>
      </w:r>
    </w:p>
    <w:p w:rsidR="00F17BD5" w:rsidRDefault="0098576C">
      <w:pPr>
        <w:adjustRightInd w:val="0"/>
        <w:snapToGrid w:val="0"/>
        <w:spacing w:beforeLines="50" w:before="156" w:afterLines="50" w:after="156"/>
        <w:rPr>
          <w:sz w:val="20"/>
          <w:szCs w:val="20"/>
        </w:rPr>
      </w:pPr>
      <w:r>
        <w:rPr>
          <w:rFonts w:hint="eastAsia"/>
          <w:sz w:val="20"/>
          <w:szCs w:val="20"/>
        </w:rPr>
        <w:t xml:space="preserve">In IoT over NTN, the UE needs to receive satellite position from the </w:t>
      </w:r>
      <w:r>
        <w:rPr>
          <w:sz w:val="20"/>
          <w:szCs w:val="20"/>
        </w:rPr>
        <w:t>system information</w:t>
      </w:r>
      <w:r>
        <w:rPr>
          <w:rFonts w:hint="eastAsia"/>
          <w:sz w:val="20"/>
          <w:szCs w:val="20"/>
        </w:rPr>
        <w:t xml:space="preserve"> and estimate its own position according to GNSS signal.</w:t>
      </w:r>
      <w:r>
        <w:rPr>
          <w:rFonts w:hint="eastAsia"/>
          <w:sz w:val="20"/>
          <w:szCs w:val="20"/>
        </w:rPr>
        <w:t xml:space="preserve"> With its own position and the satellite</w:t>
      </w:r>
      <w:r>
        <w:rPr>
          <w:sz w:val="20"/>
          <w:szCs w:val="20"/>
        </w:rPr>
        <w:t>’</w:t>
      </w:r>
      <w:r>
        <w:rPr>
          <w:rFonts w:hint="eastAsia"/>
          <w:sz w:val="20"/>
          <w:szCs w:val="20"/>
        </w:rPr>
        <w:t>s position, the UE is able to pre-compensate the timing offset and the frequency offset. The two procedure both may increase the power consumption of the IoT devices, which will largely affect their battery life and</w:t>
      </w:r>
      <w:r>
        <w:rPr>
          <w:rFonts w:hint="eastAsia"/>
          <w:sz w:val="20"/>
          <w:szCs w:val="20"/>
        </w:rPr>
        <w:t xml:space="preserve"> needs to be further investigated. </w:t>
      </w:r>
    </w:p>
    <w:p w:rsidR="00F17BD5" w:rsidRDefault="0098576C">
      <w:pPr>
        <w:adjustRightInd w:val="0"/>
        <w:snapToGrid w:val="0"/>
        <w:spacing w:beforeLines="50" w:before="156" w:afterLines="50" w:after="156"/>
        <w:rPr>
          <w:sz w:val="20"/>
          <w:szCs w:val="20"/>
          <w:highlight w:val="cyan"/>
        </w:rPr>
      </w:pPr>
      <w:r>
        <w:rPr>
          <w:rFonts w:hint="eastAsia"/>
          <w:sz w:val="20"/>
          <w:szCs w:val="20"/>
        </w:rPr>
        <w:t xml:space="preserve">Different states of a UE and the corresponding power consumption are already presented in </w:t>
      </w:r>
      <w:r>
        <w:rPr>
          <w:rFonts w:hint="eastAsia"/>
          <w:sz w:val="20"/>
          <w:szCs w:val="20"/>
        </w:rPr>
        <w:fldChar w:fldCharType="begin"/>
      </w:r>
      <w:r>
        <w:rPr>
          <w:rFonts w:hint="eastAsia"/>
          <w:sz w:val="20"/>
          <w:szCs w:val="20"/>
        </w:rPr>
        <w:instrText xml:space="preserve"> REF _Ref29008 \r \h </w:instrText>
      </w:r>
      <w:r>
        <w:rPr>
          <w:rFonts w:hint="eastAsia"/>
          <w:sz w:val="20"/>
          <w:szCs w:val="20"/>
        </w:rPr>
      </w:r>
      <w:r>
        <w:rPr>
          <w:rFonts w:hint="eastAsia"/>
          <w:sz w:val="20"/>
          <w:szCs w:val="20"/>
        </w:rPr>
        <w:fldChar w:fldCharType="separate"/>
      </w:r>
      <w:r>
        <w:rPr>
          <w:rFonts w:hint="eastAsia"/>
          <w:sz w:val="20"/>
          <w:szCs w:val="20"/>
        </w:rPr>
        <w:t>[</w:t>
      </w:r>
      <w:r>
        <w:rPr>
          <w:sz w:val="20"/>
          <w:szCs w:val="20"/>
        </w:rPr>
        <w:t>4</w:t>
      </w:r>
      <w:r>
        <w:rPr>
          <w:rFonts w:hint="eastAsia"/>
          <w:sz w:val="20"/>
          <w:szCs w:val="20"/>
        </w:rPr>
        <w:t>]</w:t>
      </w:r>
      <w:r>
        <w:rPr>
          <w:rFonts w:hint="eastAsia"/>
          <w:sz w:val="20"/>
          <w:szCs w:val="20"/>
        </w:rPr>
        <w:fldChar w:fldCharType="end"/>
      </w:r>
      <w:r>
        <w:rPr>
          <w:rFonts w:hint="eastAsia"/>
          <w:sz w:val="20"/>
          <w:szCs w:val="20"/>
        </w:rPr>
        <w:t>. The requirement for the frequency of GNSS reception is mainly determined by the movement of the UE and the requirement for the TO/FO. If the velocity of the UE is very small, the result of a GNS</w:t>
      </w:r>
      <w:r>
        <w:rPr>
          <w:rFonts w:hint="eastAsia"/>
          <w:sz w:val="20"/>
          <w:szCs w:val="20"/>
        </w:rPr>
        <w:t>S reception can be valid for a long time, and the power consumption of the GNSS reception is negligible.</w:t>
      </w:r>
    </w:p>
    <w:p w:rsidR="00F17BD5" w:rsidRDefault="0098576C">
      <w:pPr>
        <w:adjustRightInd w:val="0"/>
        <w:snapToGrid w:val="0"/>
        <w:spacing w:afterLines="50" w:after="156"/>
        <w:rPr>
          <w:i/>
          <w:kern w:val="0"/>
          <w:sz w:val="20"/>
          <w:szCs w:val="20"/>
        </w:rPr>
      </w:pPr>
      <w:r>
        <w:rPr>
          <w:b/>
          <w:i/>
          <w:kern w:val="0"/>
          <w:sz w:val="20"/>
          <w:szCs w:val="20"/>
          <w:lang w:val="en-GB"/>
        </w:rPr>
        <w:t xml:space="preserve">Proposal </w:t>
      </w:r>
      <w:r>
        <w:rPr>
          <w:b/>
          <w:i/>
          <w:kern w:val="0"/>
          <w:sz w:val="20"/>
          <w:szCs w:val="20"/>
        </w:rPr>
        <w:t>7</w:t>
      </w:r>
      <w:r>
        <w:rPr>
          <w:b/>
          <w:i/>
          <w:kern w:val="0"/>
          <w:sz w:val="20"/>
          <w:szCs w:val="20"/>
          <w:lang w:val="en-GB"/>
        </w:rPr>
        <w:t xml:space="preserve">: </w:t>
      </w:r>
      <w:r>
        <w:rPr>
          <w:rFonts w:hint="eastAsia"/>
          <w:i/>
          <w:kern w:val="0"/>
          <w:sz w:val="20"/>
          <w:szCs w:val="20"/>
        </w:rPr>
        <w:t>Determine the movement assumption and TO/FO requirement to further estimate the power consumption of GNSS reception.</w:t>
      </w:r>
    </w:p>
    <w:p w:rsidR="00F17BD5" w:rsidRDefault="0098576C">
      <w:pPr>
        <w:adjustRightInd w:val="0"/>
        <w:snapToGrid w:val="0"/>
        <w:spacing w:beforeLines="50" w:before="156" w:afterLines="50" w:after="156"/>
        <w:rPr>
          <w:sz w:val="20"/>
          <w:szCs w:val="20"/>
        </w:rPr>
      </w:pPr>
      <w:r>
        <w:rPr>
          <w:rFonts w:hint="eastAsia"/>
          <w:sz w:val="20"/>
          <w:szCs w:val="20"/>
        </w:rPr>
        <w:t>The position of satell</w:t>
      </w:r>
      <w:r>
        <w:rPr>
          <w:rFonts w:hint="eastAsia"/>
          <w:sz w:val="20"/>
          <w:szCs w:val="20"/>
        </w:rPr>
        <w:t xml:space="preserve">ite is calculated according to the discontinuous reception of the </w:t>
      </w:r>
      <w:r>
        <w:rPr>
          <w:rFonts w:hint="eastAsia"/>
          <w:sz w:val="20"/>
          <w:szCs w:val="20"/>
        </w:rPr>
        <w:t>system information</w:t>
      </w:r>
      <w:r>
        <w:rPr>
          <w:rFonts w:hint="eastAsia"/>
          <w:sz w:val="20"/>
          <w:szCs w:val="20"/>
        </w:rPr>
        <w:t xml:space="preserve"> and a prediction method. The reception frequency is also determined by the requirement for the TO/FO and the accuracy of the prediction method.</w:t>
      </w:r>
    </w:p>
    <w:p w:rsidR="00F17BD5" w:rsidRDefault="0098576C">
      <w:pPr>
        <w:adjustRightInd w:val="0"/>
        <w:snapToGrid w:val="0"/>
        <w:spacing w:afterLines="50" w:after="156"/>
        <w:rPr>
          <w:i/>
          <w:kern w:val="0"/>
          <w:sz w:val="20"/>
          <w:szCs w:val="20"/>
        </w:rPr>
      </w:pPr>
      <w:r>
        <w:rPr>
          <w:b/>
          <w:i/>
          <w:kern w:val="0"/>
          <w:sz w:val="20"/>
          <w:szCs w:val="20"/>
          <w:lang w:val="en-GB"/>
        </w:rPr>
        <w:lastRenderedPageBreak/>
        <w:t>Pr</w:t>
      </w:r>
      <w:r>
        <w:rPr>
          <w:b/>
          <w:i/>
          <w:kern w:val="0"/>
          <w:sz w:val="20"/>
          <w:szCs w:val="20"/>
          <w:lang w:val="en-GB"/>
        </w:rPr>
        <w:t xml:space="preserve">oposal </w:t>
      </w:r>
      <w:r>
        <w:rPr>
          <w:b/>
          <w:i/>
          <w:kern w:val="0"/>
          <w:sz w:val="20"/>
          <w:szCs w:val="20"/>
        </w:rPr>
        <w:t>8</w:t>
      </w:r>
      <w:r>
        <w:rPr>
          <w:b/>
          <w:i/>
          <w:kern w:val="0"/>
          <w:sz w:val="20"/>
          <w:szCs w:val="20"/>
          <w:lang w:val="en-GB"/>
        </w:rPr>
        <w:t xml:space="preserve">: </w:t>
      </w:r>
      <w:r>
        <w:rPr>
          <w:rFonts w:hint="eastAsia"/>
          <w:i/>
          <w:kern w:val="0"/>
          <w:sz w:val="20"/>
          <w:szCs w:val="20"/>
        </w:rPr>
        <w:t>Determine the prediction method for satellite position and TO/FO requirement to further estimate the power consumption of GNSS reception.</w:t>
      </w:r>
    </w:p>
    <w:p w:rsidR="00F17BD5" w:rsidRDefault="0098576C">
      <w:pPr>
        <w:pStyle w:val="1"/>
        <w:keepNext w:val="0"/>
        <w:keepLines w:val="0"/>
        <w:widowControl w:val="0"/>
        <w:numPr>
          <w:ilvl w:val="0"/>
          <w:numId w:val="3"/>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rsidR="00F17BD5" w:rsidRDefault="0098576C">
      <w:pPr>
        <w:adjustRightInd w:val="0"/>
        <w:snapToGrid w:val="0"/>
        <w:rPr>
          <w:sz w:val="20"/>
          <w:szCs w:val="20"/>
          <w:lang w:val="en-GB"/>
        </w:rPr>
      </w:pPr>
      <w:r>
        <w:rPr>
          <w:rFonts w:hint="eastAsia"/>
          <w:sz w:val="20"/>
          <w:szCs w:val="20"/>
          <w:lang w:val="en-GB"/>
        </w:rPr>
        <w:t>I</w:t>
      </w:r>
      <w:r>
        <w:rPr>
          <w:sz w:val="20"/>
          <w:szCs w:val="20"/>
          <w:lang w:val="en-GB"/>
        </w:rPr>
        <w:t xml:space="preserve">n this contribution, </w:t>
      </w:r>
      <w:r>
        <w:rPr>
          <w:rFonts w:hint="eastAsia"/>
          <w:sz w:val="20"/>
          <w:szCs w:val="20"/>
        </w:rPr>
        <w:t>technical issues and possible solutions to support IoT over NTN</w:t>
      </w:r>
      <w:r>
        <w:rPr>
          <w:sz w:val="20"/>
          <w:szCs w:val="20"/>
          <w:lang w:val="en-GB"/>
        </w:rPr>
        <w:t xml:space="preserve"> is conduct</w:t>
      </w:r>
      <w:r>
        <w:rPr>
          <w:sz w:val="20"/>
          <w:szCs w:val="20"/>
          <w:lang w:val="en-GB"/>
        </w:rPr>
        <w:t xml:space="preserve">ed with following proposals: </w:t>
      </w:r>
    </w:p>
    <w:p w:rsidR="00F17BD5" w:rsidRDefault="0098576C">
      <w:pPr>
        <w:adjustRightInd w:val="0"/>
        <w:snapToGrid w:val="0"/>
        <w:spacing w:afterLines="50" w:after="156"/>
        <w:rPr>
          <w:bCs/>
          <w:i/>
          <w:kern w:val="0"/>
          <w:sz w:val="20"/>
          <w:szCs w:val="20"/>
        </w:rPr>
      </w:pPr>
      <w:r>
        <w:rPr>
          <w:b/>
          <w:i/>
          <w:kern w:val="0"/>
          <w:sz w:val="20"/>
          <w:szCs w:val="20"/>
          <w:lang w:val="en-GB"/>
        </w:rPr>
        <w:t xml:space="preserve">Proposal </w:t>
      </w:r>
      <w:r>
        <w:rPr>
          <w:rFonts w:hint="eastAsia"/>
          <w:b/>
          <w:i/>
          <w:kern w:val="0"/>
          <w:sz w:val="20"/>
          <w:szCs w:val="20"/>
        </w:rPr>
        <w:t>1</w:t>
      </w:r>
      <w:r>
        <w:rPr>
          <w:b/>
          <w:i/>
          <w:kern w:val="0"/>
          <w:sz w:val="20"/>
          <w:szCs w:val="20"/>
          <w:lang w:val="en-GB"/>
        </w:rPr>
        <w:t xml:space="preserve">: </w:t>
      </w:r>
      <w:r>
        <w:rPr>
          <w:rFonts w:hint="eastAsia"/>
          <w:i/>
          <w:kern w:val="0"/>
          <w:sz w:val="20"/>
          <w:szCs w:val="20"/>
        </w:rPr>
        <w:t>M</w:t>
      </w:r>
      <w:r>
        <w:rPr>
          <w:i/>
          <w:kern w:val="0"/>
          <w:sz w:val="20"/>
          <w:szCs w:val="20"/>
          <w:lang w:val="en-GB"/>
        </w:rPr>
        <w:t>ultiple</w:t>
      </w:r>
      <w:r>
        <w:rPr>
          <w:bCs/>
          <w:i/>
          <w:kern w:val="0"/>
          <w:sz w:val="20"/>
          <w:szCs w:val="20"/>
        </w:rPr>
        <w:t xml:space="preserve"> beams per</w:t>
      </w:r>
      <w:r>
        <w:rPr>
          <w:bCs/>
          <w:i/>
          <w:kern w:val="0"/>
          <w:sz w:val="20"/>
          <w:szCs w:val="20"/>
          <w:lang w:val="en-GB"/>
        </w:rPr>
        <w:t xml:space="preserve"> </w:t>
      </w:r>
      <w:r>
        <w:rPr>
          <w:bCs/>
          <w:i/>
          <w:kern w:val="0"/>
          <w:sz w:val="20"/>
          <w:szCs w:val="20"/>
        </w:rPr>
        <w:t xml:space="preserve">cell should be </w:t>
      </w:r>
      <w:r>
        <w:rPr>
          <w:rFonts w:hint="eastAsia"/>
          <w:bCs/>
          <w:i/>
          <w:kern w:val="0"/>
          <w:sz w:val="20"/>
          <w:szCs w:val="20"/>
        </w:rPr>
        <w:t xml:space="preserve">supported </w:t>
      </w:r>
      <w:r>
        <w:rPr>
          <w:bCs/>
          <w:i/>
          <w:kern w:val="0"/>
          <w:sz w:val="20"/>
          <w:szCs w:val="20"/>
        </w:rPr>
        <w:t>with potential enhancement to enable the beam management for IoT</w:t>
      </w:r>
      <w:r>
        <w:rPr>
          <w:rFonts w:hint="eastAsia"/>
          <w:bCs/>
          <w:i/>
          <w:kern w:val="0"/>
          <w:sz w:val="20"/>
          <w:szCs w:val="20"/>
        </w:rPr>
        <w:t xml:space="preserve"> </w:t>
      </w:r>
      <w:r>
        <w:rPr>
          <w:rFonts w:hint="eastAsia"/>
          <w:i/>
          <w:kern w:val="0"/>
          <w:sz w:val="20"/>
          <w:szCs w:val="20"/>
        </w:rPr>
        <w:t xml:space="preserve">over </w:t>
      </w:r>
      <w:r>
        <w:rPr>
          <w:bCs/>
          <w:i/>
          <w:kern w:val="0"/>
          <w:sz w:val="20"/>
          <w:szCs w:val="20"/>
        </w:rPr>
        <w:t>NTN.</w:t>
      </w:r>
    </w:p>
    <w:p w:rsidR="00F17BD5" w:rsidRDefault="0098576C">
      <w:pPr>
        <w:adjustRightInd w:val="0"/>
        <w:snapToGrid w:val="0"/>
        <w:spacing w:afterLines="50" w:after="156"/>
        <w:rPr>
          <w:i/>
          <w:kern w:val="0"/>
          <w:sz w:val="20"/>
          <w:szCs w:val="20"/>
        </w:rPr>
      </w:pPr>
      <w:r>
        <w:rPr>
          <w:b/>
          <w:i/>
          <w:kern w:val="0"/>
          <w:sz w:val="20"/>
          <w:szCs w:val="20"/>
          <w:lang w:val="en-GB"/>
        </w:rPr>
        <w:t xml:space="preserve">Proposal </w:t>
      </w:r>
      <w:r>
        <w:rPr>
          <w:rFonts w:hint="eastAsia"/>
          <w:b/>
          <w:i/>
          <w:kern w:val="0"/>
          <w:sz w:val="20"/>
          <w:szCs w:val="20"/>
        </w:rPr>
        <w:t>2</w:t>
      </w:r>
      <w:r>
        <w:rPr>
          <w:b/>
          <w:i/>
          <w:kern w:val="0"/>
          <w:sz w:val="20"/>
          <w:szCs w:val="20"/>
          <w:lang w:val="en-GB"/>
        </w:rPr>
        <w:t xml:space="preserve">: </w:t>
      </w:r>
      <w:r>
        <w:rPr>
          <w:rFonts w:hint="eastAsia"/>
          <w:i/>
          <w:kern w:val="0"/>
          <w:sz w:val="20"/>
          <w:szCs w:val="20"/>
          <w:lang w:val="en-GB"/>
        </w:rPr>
        <w:t>Mechanism</w:t>
      </w:r>
      <w:r>
        <w:rPr>
          <w:rFonts w:hint="eastAsia"/>
          <w:i/>
          <w:kern w:val="0"/>
          <w:sz w:val="20"/>
          <w:szCs w:val="20"/>
        </w:rPr>
        <w:t>s</w:t>
      </w:r>
      <w:r>
        <w:rPr>
          <w:rFonts w:hint="eastAsia"/>
          <w:i/>
          <w:kern w:val="0"/>
          <w:sz w:val="20"/>
          <w:szCs w:val="20"/>
          <w:lang w:val="en-GB"/>
        </w:rPr>
        <w:t xml:space="preserve"> to enable the </w:t>
      </w:r>
      <w:r>
        <w:rPr>
          <w:i/>
          <w:kern w:val="0"/>
          <w:sz w:val="20"/>
          <w:szCs w:val="20"/>
        </w:rPr>
        <w:t>b</w:t>
      </w:r>
      <w:r>
        <w:rPr>
          <w:rFonts w:hint="eastAsia"/>
          <w:i/>
          <w:kern w:val="0"/>
          <w:sz w:val="20"/>
          <w:szCs w:val="20"/>
        </w:rPr>
        <w:t xml:space="preserve">eam identification in IoT over NTN should be </w:t>
      </w:r>
      <w:r>
        <w:rPr>
          <w:i/>
          <w:kern w:val="0"/>
          <w:sz w:val="20"/>
          <w:szCs w:val="20"/>
        </w:rPr>
        <w:t xml:space="preserve">considered via </w:t>
      </w:r>
      <w:r>
        <w:rPr>
          <w:rFonts w:hint="eastAsia"/>
          <w:i/>
          <w:kern w:val="0"/>
          <w:sz w:val="20"/>
          <w:szCs w:val="20"/>
        </w:rPr>
        <w:t>integrat</w:t>
      </w:r>
      <w:r>
        <w:rPr>
          <w:i/>
          <w:kern w:val="0"/>
          <w:sz w:val="20"/>
          <w:szCs w:val="20"/>
        </w:rPr>
        <w:t>ing</w:t>
      </w:r>
      <w:r>
        <w:rPr>
          <w:rFonts w:hint="eastAsia"/>
          <w:i/>
          <w:kern w:val="0"/>
          <w:sz w:val="20"/>
          <w:szCs w:val="20"/>
        </w:rPr>
        <w:t xml:space="preserve"> beam ID into PCI</w:t>
      </w:r>
      <w:r>
        <w:rPr>
          <w:i/>
          <w:kern w:val="0"/>
          <w:sz w:val="20"/>
          <w:szCs w:val="20"/>
        </w:rPr>
        <w:t xml:space="preserve"> or </w:t>
      </w:r>
      <w:r>
        <w:rPr>
          <w:rFonts w:hint="eastAsia"/>
          <w:i/>
          <w:kern w:val="0"/>
          <w:sz w:val="20"/>
          <w:szCs w:val="20"/>
        </w:rPr>
        <w:t>applying cover code on repetitions of PBCH.</w:t>
      </w:r>
    </w:p>
    <w:p w:rsidR="00F17BD5" w:rsidRDefault="0098576C">
      <w:pPr>
        <w:adjustRightInd w:val="0"/>
        <w:snapToGrid w:val="0"/>
        <w:spacing w:afterLines="50" w:after="156"/>
        <w:rPr>
          <w:i/>
          <w:kern w:val="0"/>
          <w:sz w:val="20"/>
          <w:szCs w:val="20"/>
        </w:rPr>
      </w:pPr>
      <w:r>
        <w:rPr>
          <w:b/>
          <w:i/>
          <w:kern w:val="0"/>
          <w:sz w:val="20"/>
          <w:szCs w:val="20"/>
          <w:lang w:val="en-GB"/>
        </w:rPr>
        <w:t xml:space="preserve">Proposal </w:t>
      </w:r>
      <w:r>
        <w:rPr>
          <w:b/>
          <w:i/>
          <w:kern w:val="0"/>
          <w:sz w:val="20"/>
          <w:szCs w:val="20"/>
        </w:rPr>
        <w:t>3</w:t>
      </w:r>
      <w:r>
        <w:rPr>
          <w:b/>
          <w:i/>
          <w:kern w:val="0"/>
          <w:sz w:val="20"/>
          <w:szCs w:val="20"/>
          <w:lang w:val="en-GB"/>
        </w:rPr>
        <w:t xml:space="preserve">: </w:t>
      </w:r>
      <w:r>
        <w:rPr>
          <w:rFonts w:hint="eastAsia"/>
          <w:i/>
          <w:kern w:val="0"/>
          <w:sz w:val="20"/>
          <w:szCs w:val="20"/>
        </w:rPr>
        <w:t xml:space="preserve">In IoT over NTN, mapping between beam and frequency resource should be studied. </w:t>
      </w:r>
    </w:p>
    <w:p w:rsidR="00F17BD5" w:rsidRDefault="0098576C">
      <w:pPr>
        <w:adjustRightInd w:val="0"/>
        <w:snapToGrid w:val="0"/>
        <w:spacing w:afterLines="50" w:after="156"/>
        <w:rPr>
          <w:i/>
          <w:kern w:val="0"/>
          <w:sz w:val="20"/>
          <w:szCs w:val="20"/>
        </w:rPr>
      </w:pPr>
      <w:r>
        <w:rPr>
          <w:b/>
          <w:i/>
          <w:kern w:val="0"/>
          <w:sz w:val="20"/>
          <w:szCs w:val="20"/>
          <w:lang w:val="en-GB"/>
        </w:rPr>
        <w:t xml:space="preserve">Proposal </w:t>
      </w:r>
      <w:r>
        <w:rPr>
          <w:b/>
          <w:i/>
          <w:kern w:val="0"/>
          <w:sz w:val="20"/>
          <w:szCs w:val="20"/>
        </w:rPr>
        <w:t>4</w:t>
      </w:r>
      <w:r>
        <w:rPr>
          <w:b/>
          <w:i/>
          <w:kern w:val="0"/>
          <w:sz w:val="20"/>
          <w:szCs w:val="20"/>
          <w:lang w:val="en-GB"/>
        </w:rPr>
        <w:t xml:space="preserve">: </w:t>
      </w:r>
      <w:r>
        <w:rPr>
          <w:rFonts w:hint="eastAsia"/>
          <w:i/>
          <w:kern w:val="0"/>
          <w:sz w:val="20"/>
          <w:szCs w:val="20"/>
        </w:rPr>
        <w:t>In IoT over NTN, enhanced repeated transmission to tackle th</w:t>
      </w:r>
      <w:r>
        <w:rPr>
          <w:rFonts w:hint="eastAsia"/>
          <w:i/>
          <w:kern w:val="0"/>
          <w:sz w:val="20"/>
          <w:szCs w:val="20"/>
        </w:rPr>
        <w:t xml:space="preserve">e interrupt due to beam switch should be studied. </w:t>
      </w:r>
    </w:p>
    <w:p w:rsidR="00F17BD5" w:rsidRDefault="0098576C">
      <w:pPr>
        <w:adjustRightInd w:val="0"/>
        <w:snapToGrid w:val="0"/>
        <w:spacing w:beforeLines="50" w:before="156" w:afterLines="50" w:after="156"/>
        <w:rPr>
          <w:i/>
          <w:kern w:val="0"/>
          <w:sz w:val="20"/>
          <w:szCs w:val="20"/>
        </w:rPr>
      </w:pPr>
      <w:r>
        <w:rPr>
          <w:b/>
          <w:i/>
          <w:kern w:val="0"/>
          <w:sz w:val="20"/>
          <w:szCs w:val="20"/>
          <w:lang w:val="en-GB"/>
        </w:rPr>
        <w:t xml:space="preserve">Proposal </w:t>
      </w:r>
      <w:r>
        <w:rPr>
          <w:b/>
          <w:i/>
          <w:kern w:val="0"/>
          <w:sz w:val="20"/>
          <w:szCs w:val="20"/>
        </w:rPr>
        <w:t>5</w:t>
      </w:r>
      <w:r>
        <w:rPr>
          <w:b/>
          <w:i/>
          <w:kern w:val="0"/>
          <w:sz w:val="20"/>
          <w:szCs w:val="20"/>
          <w:lang w:val="en-GB"/>
        </w:rPr>
        <w:t xml:space="preserve">: </w:t>
      </w:r>
      <w:r>
        <w:rPr>
          <w:i/>
          <w:kern w:val="0"/>
          <w:sz w:val="20"/>
          <w:szCs w:val="20"/>
        </w:rPr>
        <w:t>Indication of polarization is only enabled once the various polarization mode is supported at UE side.</w:t>
      </w:r>
    </w:p>
    <w:p w:rsidR="00F17BD5" w:rsidRDefault="0098576C">
      <w:pPr>
        <w:adjustRightInd w:val="0"/>
        <w:snapToGrid w:val="0"/>
        <w:spacing w:beforeLines="50" w:before="156" w:afterLines="50" w:after="156"/>
        <w:rPr>
          <w:i/>
          <w:kern w:val="0"/>
          <w:sz w:val="20"/>
          <w:szCs w:val="20"/>
        </w:rPr>
      </w:pPr>
      <w:r>
        <w:rPr>
          <w:b/>
          <w:i/>
          <w:kern w:val="0"/>
          <w:sz w:val="20"/>
          <w:szCs w:val="20"/>
          <w:lang w:val="en-GB"/>
        </w:rPr>
        <w:t xml:space="preserve">Proposal </w:t>
      </w:r>
      <w:r>
        <w:rPr>
          <w:b/>
          <w:i/>
          <w:kern w:val="0"/>
          <w:sz w:val="20"/>
          <w:szCs w:val="20"/>
        </w:rPr>
        <w:t>6</w:t>
      </w:r>
      <w:r>
        <w:rPr>
          <w:b/>
          <w:i/>
          <w:kern w:val="0"/>
          <w:sz w:val="20"/>
          <w:szCs w:val="20"/>
          <w:lang w:val="en-GB"/>
        </w:rPr>
        <w:t xml:space="preserve">: </w:t>
      </w:r>
      <w:r>
        <w:rPr>
          <w:i/>
          <w:kern w:val="0"/>
          <w:sz w:val="20"/>
          <w:szCs w:val="20"/>
          <w:lang w:val="en-GB"/>
        </w:rPr>
        <w:t xml:space="preserve">The mechanism defined in NR-NTN can be reused for IoT-NTN if indication of </w:t>
      </w:r>
      <w:r>
        <w:rPr>
          <w:i/>
          <w:kern w:val="0"/>
          <w:sz w:val="20"/>
          <w:szCs w:val="20"/>
          <w:lang w:val="en-GB"/>
        </w:rPr>
        <w:t>polarization is enabled.</w:t>
      </w:r>
    </w:p>
    <w:p w:rsidR="00F17BD5" w:rsidRDefault="0098576C">
      <w:pPr>
        <w:adjustRightInd w:val="0"/>
        <w:snapToGrid w:val="0"/>
        <w:spacing w:afterLines="50" w:after="156"/>
        <w:rPr>
          <w:i/>
          <w:kern w:val="0"/>
          <w:sz w:val="20"/>
          <w:szCs w:val="20"/>
        </w:rPr>
      </w:pPr>
      <w:r>
        <w:rPr>
          <w:b/>
          <w:i/>
          <w:kern w:val="0"/>
          <w:sz w:val="20"/>
          <w:szCs w:val="20"/>
          <w:lang w:val="en-GB"/>
        </w:rPr>
        <w:t xml:space="preserve">Proposal </w:t>
      </w:r>
      <w:r>
        <w:rPr>
          <w:b/>
          <w:i/>
          <w:kern w:val="0"/>
          <w:sz w:val="20"/>
          <w:szCs w:val="20"/>
        </w:rPr>
        <w:t>7</w:t>
      </w:r>
      <w:r>
        <w:rPr>
          <w:b/>
          <w:i/>
          <w:kern w:val="0"/>
          <w:sz w:val="20"/>
          <w:szCs w:val="20"/>
          <w:lang w:val="en-GB"/>
        </w:rPr>
        <w:t xml:space="preserve">: </w:t>
      </w:r>
      <w:r>
        <w:rPr>
          <w:rFonts w:hint="eastAsia"/>
          <w:i/>
          <w:kern w:val="0"/>
          <w:sz w:val="20"/>
          <w:szCs w:val="20"/>
        </w:rPr>
        <w:t>Determine the movement assumption and TO/FO requirement to further estimate the power consumption of GNSS reception.</w:t>
      </w:r>
    </w:p>
    <w:p w:rsidR="00F17BD5" w:rsidRDefault="0098576C">
      <w:pPr>
        <w:adjustRightInd w:val="0"/>
        <w:snapToGrid w:val="0"/>
        <w:spacing w:afterLines="50" w:after="156"/>
        <w:rPr>
          <w:i/>
          <w:kern w:val="0"/>
          <w:sz w:val="20"/>
          <w:szCs w:val="20"/>
        </w:rPr>
      </w:pPr>
      <w:r>
        <w:rPr>
          <w:b/>
          <w:i/>
          <w:kern w:val="0"/>
          <w:sz w:val="20"/>
          <w:szCs w:val="20"/>
          <w:lang w:val="en-GB"/>
        </w:rPr>
        <w:t xml:space="preserve">Proposal </w:t>
      </w:r>
      <w:r>
        <w:rPr>
          <w:b/>
          <w:i/>
          <w:kern w:val="0"/>
          <w:sz w:val="20"/>
          <w:szCs w:val="20"/>
        </w:rPr>
        <w:t>8</w:t>
      </w:r>
      <w:r>
        <w:rPr>
          <w:b/>
          <w:i/>
          <w:kern w:val="0"/>
          <w:sz w:val="20"/>
          <w:szCs w:val="20"/>
          <w:lang w:val="en-GB"/>
        </w:rPr>
        <w:t xml:space="preserve">: </w:t>
      </w:r>
      <w:r>
        <w:rPr>
          <w:rFonts w:hint="eastAsia"/>
          <w:i/>
          <w:kern w:val="0"/>
          <w:sz w:val="20"/>
          <w:szCs w:val="20"/>
        </w:rPr>
        <w:t xml:space="preserve">Determine the prediction method for satellite position and TO/FO requirement to further </w:t>
      </w:r>
      <w:r>
        <w:rPr>
          <w:rFonts w:hint="eastAsia"/>
          <w:i/>
          <w:kern w:val="0"/>
          <w:sz w:val="20"/>
          <w:szCs w:val="20"/>
        </w:rPr>
        <w:t>estimate the power consumption of GNSS reception.</w:t>
      </w:r>
    </w:p>
    <w:p w:rsidR="00F17BD5" w:rsidRDefault="0098576C">
      <w:pPr>
        <w:tabs>
          <w:tab w:val="left" w:pos="432"/>
          <w:tab w:val="left" w:pos="720"/>
          <w:tab w:val="left" w:pos="4827"/>
        </w:tabs>
        <w:autoSpaceDE w:val="0"/>
        <w:autoSpaceDN w:val="0"/>
        <w:adjustRightInd w:val="0"/>
        <w:spacing w:after="120"/>
        <w:ind w:left="432" w:hanging="432"/>
        <w:outlineLvl w:val="0"/>
        <w:rPr>
          <w:sz w:val="22"/>
          <w:szCs w:val="22"/>
          <w:lang w:val="en-GB"/>
        </w:rPr>
      </w:pPr>
      <w:r>
        <w:rPr>
          <w:b/>
          <w:bCs/>
          <w:sz w:val="28"/>
          <w:szCs w:val="28"/>
          <w:lang w:val="en-GB" w:eastAsia="en-US"/>
        </w:rPr>
        <w:t>References</w:t>
      </w:r>
      <w:bookmarkEnd w:id="2"/>
      <w:bookmarkEnd w:id="3"/>
      <w:bookmarkEnd w:id="4"/>
    </w:p>
    <w:p w:rsidR="00F17BD5" w:rsidRDefault="0098576C">
      <w:pPr>
        <w:pStyle w:val="ListParagraph1"/>
        <w:widowControl/>
        <w:numPr>
          <w:ilvl w:val="0"/>
          <w:numId w:val="5"/>
        </w:numPr>
        <w:jc w:val="left"/>
        <w:rPr>
          <w:sz w:val="20"/>
          <w:szCs w:val="20"/>
        </w:rPr>
      </w:pPr>
      <w:bookmarkStart w:id="7" w:name="_Ref40282619"/>
      <w:r>
        <w:rPr>
          <w:rFonts w:hint="eastAsia"/>
          <w:sz w:val="20"/>
          <w:szCs w:val="20"/>
        </w:rPr>
        <w:t>RAN1#103e, Chairman</w:t>
      </w:r>
      <w:r>
        <w:rPr>
          <w:sz w:val="20"/>
          <w:szCs w:val="20"/>
        </w:rPr>
        <w:t>’</w:t>
      </w:r>
      <w:r>
        <w:rPr>
          <w:rFonts w:hint="eastAsia"/>
          <w:sz w:val="20"/>
          <w:szCs w:val="20"/>
        </w:rPr>
        <w:t>s notes</w:t>
      </w:r>
      <w:r>
        <w:rPr>
          <w:sz w:val="20"/>
          <w:szCs w:val="20"/>
        </w:rPr>
        <w:t>.</w:t>
      </w:r>
      <w:bookmarkEnd w:id="7"/>
    </w:p>
    <w:p w:rsidR="00F17BD5" w:rsidRDefault="0098576C">
      <w:pPr>
        <w:pStyle w:val="ListParagraph1"/>
        <w:widowControl/>
        <w:numPr>
          <w:ilvl w:val="0"/>
          <w:numId w:val="5"/>
        </w:numPr>
        <w:jc w:val="left"/>
        <w:rPr>
          <w:sz w:val="20"/>
          <w:szCs w:val="20"/>
        </w:rPr>
      </w:pPr>
      <w:bookmarkStart w:id="8" w:name="_Ref61339423"/>
      <w:r>
        <w:rPr>
          <w:sz w:val="20"/>
          <w:szCs w:val="20"/>
        </w:rPr>
        <w:t>TR 38.821 Solutions for NR to support non-terrestrial networks (NTN)</w:t>
      </w:r>
      <w:bookmarkEnd w:id="8"/>
    </w:p>
    <w:p w:rsidR="00F17BD5" w:rsidRDefault="0098576C">
      <w:pPr>
        <w:pStyle w:val="ListParagraph1"/>
        <w:widowControl/>
        <w:numPr>
          <w:ilvl w:val="0"/>
          <w:numId w:val="5"/>
        </w:numPr>
        <w:jc w:val="left"/>
        <w:rPr>
          <w:sz w:val="20"/>
          <w:szCs w:val="20"/>
        </w:rPr>
      </w:pPr>
      <w:r>
        <w:rPr>
          <w:sz w:val="20"/>
          <w:szCs w:val="20"/>
        </w:rPr>
        <w:t>R1-2100247 Discussion on additional enhancement for NR-NTN</w:t>
      </w:r>
      <w:bookmarkStart w:id="9" w:name="_Ref61368834"/>
      <w:r>
        <w:rPr>
          <w:sz w:val="20"/>
          <w:szCs w:val="20"/>
        </w:rPr>
        <w:t>, ZTE</w:t>
      </w:r>
    </w:p>
    <w:p w:rsidR="00F17BD5" w:rsidRDefault="0098576C">
      <w:pPr>
        <w:pStyle w:val="ListParagraph1"/>
        <w:widowControl/>
        <w:numPr>
          <w:ilvl w:val="0"/>
          <w:numId w:val="5"/>
        </w:numPr>
        <w:jc w:val="left"/>
        <w:rPr>
          <w:sz w:val="20"/>
          <w:szCs w:val="20"/>
        </w:rPr>
      </w:pPr>
      <w:bookmarkStart w:id="10" w:name="_Ref29008"/>
      <w:bookmarkEnd w:id="9"/>
      <w:r>
        <w:rPr>
          <w:rFonts w:hint="eastAsia"/>
          <w:sz w:val="20"/>
          <w:szCs w:val="20"/>
        </w:rPr>
        <w:t>R1-2008856</w:t>
      </w:r>
      <w:r>
        <w:rPr>
          <w:sz w:val="20"/>
          <w:szCs w:val="20"/>
        </w:rPr>
        <w:t xml:space="preserve"> </w:t>
      </w:r>
      <w:r>
        <w:rPr>
          <w:rFonts w:hint="eastAsia"/>
          <w:sz w:val="20"/>
          <w:szCs w:val="20"/>
        </w:rPr>
        <w:t>Discussion on power</w:t>
      </w:r>
      <w:r>
        <w:rPr>
          <w:rFonts w:hint="eastAsia"/>
          <w:sz w:val="20"/>
          <w:szCs w:val="20"/>
        </w:rPr>
        <w:t xml:space="preserve"> consumption and NPRACH capacity for NTN</w:t>
      </w:r>
      <w:r>
        <w:rPr>
          <w:rFonts w:hint="eastAsia"/>
          <w:sz w:val="20"/>
          <w:szCs w:val="20"/>
        </w:rPr>
        <w:t>, ZTE</w:t>
      </w:r>
      <w:r>
        <w:rPr>
          <w:rFonts w:hint="eastAsia"/>
          <w:sz w:val="20"/>
          <w:szCs w:val="20"/>
        </w:rPr>
        <w:t xml:space="preserve"> </w:t>
      </w:r>
      <w:bookmarkEnd w:id="10"/>
    </w:p>
    <w:sectPr w:rsidR="00F17BD5">
      <w:headerReference w:type="default" r:id="rId10"/>
      <w:footerReference w:type="even"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76C" w:rsidRDefault="0098576C">
      <w:r>
        <w:separator/>
      </w:r>
    </w:p>
  </w:endnote>
  <w:endnote w:type="continuationSeparator" w:id="0">
    <w:p w:rsidR="0098576C" w:rsidRDefault="00985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BD5" w:rsidRDefault="0098576C">
    <w:pPr>
      <w:pStyle w:val="a7"/>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F17BD5" w:rsidRDefault="00F17BD5">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BD5" w:rsidRDefault="0098576C">
    <w:pPr>
      <w:pStyle w:val="a7"/>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623184">
      <w:rPr>
        <w:rStyle w:val="ae"/>
        <w:noProof/>
      </w:rPr>
      <w:t>1</w:t>
    </w:r>
    <w:r>
      <w:rPr>
        <w:rStyle w:val="ae"/>
      </w:rPr>
      <w:fldChar w:fldCharType="end"/>
    </w:r>
    <w:r>
      <w:rPr>
        <w:rStyle w:val="ae"/>
        <w:rFonts w:hint="eastAsia"/>
      </w:rPr>
      <w:t>页</w:t>
    </w:r>
  </w:p>
  <w:p w:rsidR="00F17BD5" w:rsidRDefault="0098576C">
    <w:pPr>
      <w:pStyle w:val="a7"/>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76C" w:rsidRDefault="0098576C">
      <w:r>
        <w:separator/>
      </w:r>
    </w:p>
  </w:footnote>
  <w:footnote w:type="continuationSeparator" w:id="0">
    <w:p w:rsidR="0098576C" w:rsidRDefault="00985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BD5" w:rsidRDefault="00F17BD5">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4" w15:restartNumberingAfterBreak="0">
    <w:nsid w:val="74CBF6B7"/>
    <w:multiLevelType w:val="multilevel"/>
    <w:tmpl w:val="74CBF6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ttachedTemplate r:id="rId1"/>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C21"/>
    <w:rsid w:val="00001160"/>
    <w:rsid w:val="000069D9"/>
    <w:rsid w:val="00007BE0"/>
    <w:rsid w:val="00011F90"/>
    <w:rsid w:val="000143DB"/>
    <w:rsid w:val="0002095B"/>
    <w:rsid w:val="000271BA"/>
    <w:rsid w:val="000315D3"/>
    <w:rsid w:val="00032C08"/>
    <w:rsid w:val="00034CEB"/>
    <w:rsid w:val="00036EA2"/>
    <w:rsid w:val="00051A9A"/>
    <w:rsid w:val="0005504E"/>
    <w:rsid w:val="000617FD"/>
    <w:rsid w:val="00061B03"/>
    <w:rsid w:val="00062129"/>
    <w:rsid w:val="000634EC"/>
    <w:rsid w:val="00065F89"/>
    <w:rsid w:val="00074264"/>
    <w:rsid w:val="00075FD7"/>
    <w:rsid w:val="0007608F"/>
    <w:rsid w:val="0008503F"/>
    <w:rsid w:val="000860A7"/>
    <w:rsid w:val="00092939"/>
    <w:rsid w:val="0009735D"/>
    <w:rsid w:val="000B34AF"/>
    <w:rsid w:val="000B6D68"/>
    <w:rsid w:val="000C0DA1"/>
    <w:rsid w:val="000D06A6"/>
    <w:rsid w:val="000D12D3"/>
    <w:rsid w:val="000E2826"/>
    <w:rsid w:val="000E4ABE"/>
    <w:rsid w:val="000F47FE"/>
    <w:rsid w:val="000F6EAA"/>
    <w:rsid w:val="000F7E9B"/>
    <w:rsid w:val="001031A2"/>
    <w:rsid w:val="00105822"/>
    <w:rsid w:val="00110D24"/>
    <w:rsid w:val="00115CC1"/>
    <w:rsid w:val="001169BE"/>
    <w:rsid w:val="0012115D"/>
    <w:rsid w:val="001217D8"/>
    <w:rsid w:val="00126145"/>
    <w:rsid w:val="00126D3F"/>
    <w:rsid w:val="00130A1B"/>
    <w:rsid w:val="00133FB7"/>
    <w:rsid w:val="001408A5"/>
    <w:rsid w:val="00141932"/>
    <w:rsid w:val="00141A65"/>
    <w:rsid w:val="00142AF4"/>
    <w:rsid w:val="001511F5"/>
    <w:rsid w:val="00161D7B"/>
    <w:rsid w:val="00163058"/>
    <w:rsid w:val="001660EC"/>
    <w:rsid w:val="001711AA"/>
    <w:rsid w:val="001767E6"/>
    <w:rsid w:val="00190A8D"/>
    <w:rsid w:val="00190C55"/>
    <w:rsid w:val="001930A7"/>
    <w:rsid w:val="001A1268"/>
    <w:rsid w:val="001A47DF"/>
    <w:rsid w:val="001B21A1"/>
    <w:rsid w:val="001B2856"/>
    <w:rsid w:val="001C1F92"/>
    <w:rsid w:val="001C45B2"/>
    <w:rsid w:val="001C4A76"/>
    <w:rsid w:val="001C68FC"/>
    <w:rsid w:val="001D332D"/>
    <w:rsid w:val="001E2CC4"/>
    <w:rsid w:val="001E318F"/>
    <w:rsid w:val="00211CA5"/>
    <w:rsid w:val="00214DB3"/>
    <w:rsid w:val="00214FA0"/>
    <w:rsid w:val="00215A8B"/>
    <w:rsid w:val="00216E0E"/>
    <w:rsid w:val="00222477"/>
    <w:rsid w:val="0022376C"/>
    <w:rsid w:val="002255C5"/>
    <w:rsid w:val="00227101"/>
    <w:rsid w:val="00227ADD"/>
    <w:rsid w:val="002319CB"/>
    <w:rsid w:val="002333B7"/>
    <w:rsid w:val="002414B9"/>
    <w:rsid w:val="002417A7"/>
    <w:rsid w:val="00243AAA"/>
    <w:rsid w:val="00244D42"/>
    <w:rsid w:val="0024534D"/>
    <w:rsid w:val="002467B3"/>
    <w:rsid w:val="002514AF"/>
    <w:rsid w:val="002521E3"/>
    <w:rsid w:val="00256085"/>
    <w:rsid w:val="0025754A"/>
    <w:rsid w:val="00274654"/>
    <w:rsid w:val="002826DF"/>
    <w:rsid w:val="00293BAA"/>
    <w:rsid w:val="00294255"/>
    <w:rsid w:val="00294FBD"/>
    <w:rsid w:val="00296AF0"/>
    <w:rsid w:val="002A0854"/>
    <w:rsid w:val="002A5266"/>
    <w:rsid w:val="002B0744"/>
    <w:rsid w:val="002B2B2C"/>
    <w:rsid w:val="002B6800"/>
    <w:rsid w:val="002C031F"/>
    <w:rsid w:val="002D0D22"/>
    <w:rsid w:val="002D35FA"/>
    <w:rsid w:val="002E4DBD"/>
    <w:rsid w:val="002E5194"/>
    <w:rsid w:val="002E62F7"/>
    <w:rsid w:val="002E69E3"/>
    <w:rsid w:val="002F0DF8"/>
    <w:rsid w:val="002F1654"/>
    <w:rsid w:val="002F23FB"/>
    <w:rsid w:val="002F491B"/>
    <w:rsid w:val="002F5C62"/>
    <w:rsid w:val="002F628C"/>
    <w:rsid w:val="003015A4"/>
    <w:rsid w:val="00306448"/>
    <w:rsid w:val="0031063F"/>
    <w:rsid w:val="00312C1A"/>
    <w:rsid w:val="00312DD1"/>
    <w:rsid w:val="00313CA2"/>
    <w:rsid w:val="00314958"/>
    <w:rsid w:val="00316AAB"/>
    <w:rsid w:val="00321C9A"/>
    <w:rsid w:val="0032203E"/>
    <w:rsid w:val="0032290C"/>
    <w:rsid w:val="00324201"/>
    <w:rsid w:val="0032793A"/>
    <w:rsid w:val="00330954"/>
    <w:rsid w:val="0033176D"/>
    <w:rsid w:val="00331D0B"/>
    <w:rsid w:val="00332091"/>
    <w:rsid w:val="00333476"/>
    <w:rsid w:val="00344D56"/>
    <w:rsid w:val="003504B5"/>
    <w:rsid w:val="003510BA"/>
    <w:rsid w:val="003551C4"/>
    <w:rsid w:val="003562B5"/>
    <w:rsid w:val="0036111C"/>
    <w:rsid w:val="003615AC"/>
    <w:rsid w:val="00361E97"/>
    <w:rsid w:val="00365135"/>
    <w:rsid w:val="003655CA"/>
    <w:rsid w:val="003669A2"/>
    <w:rsid w:val="00374E2E"/>
    <w:rsid w:val="00376DBC"/>
    <w:rsid w:val="003779EC"/>
    <w:rsid w:val="0038293D"/>
    <w:rsid w:val="00383F4E"/>
    <w:rsid w:val="003921F6"/>
    <w:rsid w:val="003A2A06"/>
    <w:rsid w:val="003A4311"/>
    <w:rsid w:val="003B26F6"/>
    <w:rsid w:val="003B3B1B"/>
    <w:rsid w:val="003C2BD4"/>
    <w:rsid w:val="003C53BD"/>
    <w:rsid w:val="003C5920"/>
    <w:rsid w:val="003C7958"/>
    <w:rsid w:val="003D0AC6"/>
    <w:rsid w:val="003D77DC"/>
    <w:rsid w:val="003E520A"/>
    <w:rsid w:val="003F0B5B"/>
    <w:rsid w:val="003F58F6"/>
    <w:rsid w:val="003F7778"/>
    <w:rsid w:val="0040055C"/>
    <w:rsid w:val="00402295"/>
    <w:rsid w:val="00402401"/>
    <w:rsid w:val="004027D0"/>
    <w:rsid w:val="00412A24"/>
    <w:rsid w:val="00413229"/>
    <w:rsid w:val="00414A28"/>
    <w:rsid w:val="00427917"/>
    <w:rsid w:val="00434951"/>
    <w:rsid w:val="004361E8"/>
    <w:rsid w:val="00436B44"/>
    <w:rsid w:val="0044156F"/>
    <w:rsid w:val="004441C5"/>
    <w:rsid w:val="00451765"/>
    <w:rsid w:val="00455EAC"/>
    <w:rsid w:val="0046088D"/>
    <w:rsid w:val="00461847"/>
    <w:rsid w:val="0046439A"/>
    <w:rsid w:val="0046457B"/>
    <w:rsid w:val="00467609"/>
    <w:rsid w:val="004700B2"/>
    <w:rsid w:val="00473AB3"/>
    <w:rsid w:val="0047465B"/>
    <w:rsid w:val="004751D2"/>
    <w:rsid w:val="00476FF3"/>
    <w:rsid w:val="0048006F"/>
    <w:rsid w:val="0048015D"/>
    <w:rsid w:val="00481411"/>
    <w:rsid w:val="004A1897"/>
    <w:rsid w:val="004A2C92"/>
    <w:rsid w:val="004A311E"/>
    <w:rsid w:val="004A3ACA"/>
    <w:rsid w:val="004A4036"/>
    <w:rsid w:val="004A4420"/>
    <w:rsid w:val="004B651C"/>
    <w:rsid w:val="004C2E21"/>
    <w:rsid w:val="004C63EE"/>
    <w:rsid w:val="004C74FA"/>
    <w:rsid w:val="004C7BFA"/>
    <w:rsid w:val="004D3C2F"/>
    <w:rsid w:val="004D3D83"/>
    <w:rsid w:val="004D79CC"/>
    <w:rsid w:val="004E0F77"/>
    <w:rsid w:val="004E4CB6"/>
    <w:rsid w:val="004E6F19"/>
    <w:rsid w:val="004F2953"/>
    <w:rsid w:val="0050247C"/>
    <w:rsid w:val="0051029C"/>
    <w:rsid w:val="00510763"/>
    <w:rsid w:val="005135AD"/>
    <w:rsid w:val="0051579D"/>
    <w:rsid w:val="00516AEA"/>
    <w:rsid w:val="00517D45"/>
    <w:rsid w:val="00520C32"/>
    <w:rsid w:val="00525D37"/>
    <w:rsid w:val="00525F32"/>
    <w:rsid w:val="005303AE"/>
    <w:rsid w:val="0053179B"/>
    <w:rsid w:val="0053293F"/>
    <w:rsid w:val="00540B4F"/>
    <w:rsid w:val="00547345"/>
    <w:rsid w:val="005475D3"/>
    <w:rsid w:val="005566F4"/>
    <w:rsid w:val="00562918"/>
    <w:rsid w:val="00573CDF"/>
    <w:rsid w:val="00576785"/>
    <w:rsid w:val="005822A7"/>
    <w:rsid w:val="00582A4D"/>
    <w:rsid w:val="00587E90"/>
    <w:rsid w:val="00593505"/>
    <w:rsid w:val="00594691"/>
    <w:rsid w:val="005A673B"/>
    <w:rsid w:val="005B6FC2"/>
    <w:rsid w:val="005C199B"/>
    <w:rsid w:val="005C2A83"/>
    <w:rsid w:val="005C34EB"/>
    <w:rsid w:val="005C7B0C"/>
    <w:rsid w:val="005D030D"/>
    <w:rsid w:val="005D3CEA"/>
    <w:rsid w:val="005D5F8D"/>
    <w:rsid w:val="005D680C"/>
    <w:rsid w:val="005E5BB8"/>
    <w:rsid w:val="005E6736"/>
    <w:rsid w:val="005F56A6"/>
    <w:rsid w:val="0060376F"/>
    <w:rsid w:val="006044A1"/>
    <w:rsid w:val="00610FB4"/>
    <w:rsid w:val="00615121"/>
    <w:rsid w:val="006155FD"/>
    <w:rsid w:val="00616BD6"/>
    <w:rsid w:val="00620346"/>
    <w:rsid w:val="006219E9"/>
    <w:rsid w:val="00623184"/>
    <w:rsid w:val="00634014"/>
    <w:rsid w:val="00634C50"/>
    <w:rsid w:val="00634ED9"/>
    <w:rsid w:val="00647E24"/>
    <w:rsid w:val="00652E53"/>
    <w:rsid w:val="006578C8"/>
    <w:rsid w:val="00660B67"/>
    <w:rsid w:val="006628E6"/>
    <w:rsid w:val="00663FF5"/>
    <w:rsid w:val="00667B7F"/>
    <w:rsid w:val="00670A16"/>
    <w:rsid w:val="00676DA6"/>
    <w:rsid w:val="00682170"/>
    <w:rsid w:val="0068513D"/>
    <w:rsid w:val="00690BB8"/>
    <w:rsid w:val="00691184"/>
    <w:rsid w:val="00691335"/>
    <w:rsid w:val="0069393E"/>
    <w:rsid w:val="006946FD"/>
    <w:rsid w:val="006A464B"/>
    <w:rsid w:val="006A6C63"/>
    <w:rsid w:val="006B086E"/>
    <w:rsid w:val="006B0A0A"/>
    <w:rsid w:val="006B0D82"/>
    <w:rsid w:val="006B4157"/>
    <w:rsid w:val="006B486B"/>
    <w:rsid w:val="006C2890"/>
    <w:rsid w:val="006C60A2"/>
    <w:rsid w:val="006D07F1"/>
    <w:rsid w:val="006D1532"/>
    <w:rsid w:val="006D1731"/>
    <w:rsid w:val="006D40EF"/>
    <w:rsid w:val="006D7CA8"/>
    <w:rsid w:val="006F1B53"/>
    <w:rsid w:val="00703A53"/>
    <w:rsid w:val="00713A0C"/>
    <w:rsid w:val="00713FB3"/>
    <w:rsid w:val="00714C2F"/>
    <w:rsid w:val="00717679"/>
    <w:rsid w:val="007259B4"/>
    <w:rsid w:val="007304E6"/>
    <w:rsid w:val="00732D39"/>
    <w:rsid w:val="00733A99"/>
    <w:rsid w:val="00737F28"/>
    <w:rsid w:val="007462B3"/>
    <w:rsid w:val="00753713"/>
    <w:rsid w:val="00763814"/>
    <w:rsid w:val="00767214"/>
    <w:rsid w:val="00771468"/>
    <w:rsid w:val="00773474"/>
    <w:rsid w:val="00780C4B"/>
    <w:rsid w:val="0078483C"/>
    <w:rsid w:val="00793203"/>
    <w:rsid w:val="00796237"/>
    <w:rsid w:val="00796A2A"/>
    <w:rsid w:val="007978FB"/>
    <w:rsid w:val="007A08C4"/>
    <w:rsid w:val="007A1E50"/>
    <w:rsid w:val="007A2A69"/>
    <w:rsid w:val="007A464F"/>
    <w:rsid w:val="007C2C21"/>
    <w:rsid w:val="007C33E4"/>
    <w:rsid w:val="007C79BA"/>
    <w:rsid w:val="007C7CD7"/>
    <w:rsid w:val="007E49CA"/>
    <w:rsid w:val="007E6309"/>
    <w:rsid w:val="007E72EC"/>
    <w:rsid w:val="007E771D"/>
    <w:rsid w:val="007F6AE2"/>
    <w:rsid w:val="007F7F42"/>
    <w:rsid w:val="00801332"/>
    <w:rsid w:val="008035CF"/>
    <w:rsid w:val="00810FFB"/>
    <w:rsid w:val="00815C12"/>
    <w:rsid w:val="00815E7A"/>
    <w:rsid w:val="00821A18"/>
    <w:rsid w:val="00822B6F"/>
    <w:rsid w:val="0082442C"/>
    <w:rsid w:val="00832A12"/>
    <w:rsid w:val="0083422E"/>
    <w:rsid w:val="00835954"/>
    <w:rsid w:val="008556E9"/>
    <w:rsid w:val="00864992"/>
    <w:rsid w:val="00865033"/>
    <w:rsid w:val="008703C6"/>
    <w:rsid w:val="00871A17"/>
    <w:rsid w:val="00871C35"/>
    <w:rsid w:val="00872250"/>
    <w:rsid w:val="00872C5F"/>
    <w:rsid w:val="00872EE5"/>
    <w:rsid w:val="0088129E"/>
    <w:rsid w:val="00885685"/>
    <w:rsid w:val="00890690"/>
    <w:rsid w:val="008936DA"/>
    <w:rsid w:val="00893D34"/>
    <w:rsid w:val="008C0251"/>
    <w:rsid w:val="008C4F68"/>
    <w:rsid w:val="008C5BB5"/>
    <w:rsid w:val="008C624D"/>
    <w:rsid w:val="008C71BC"/>
    <w:rsid w:val="008D4B7E"/>
    <w:rsid w:val="008D7817"/>
    <w:rsid w:val="008E0B68"/>
    <w:rsid w:val="008E73BF"/>
    <w:rsid w:val="008E7CCC"/>
    <w:rsid w:val="008F76F6"/>
    <w:rsid w:val="00904D97"/>
    <w:rsid w:val="0090723C"/>
    <w:rsid w:val="009103DA"/>
    <w:rsid w:val="00920268"/>
    <w:rsid w:val="009205DD"/>
    <w:rsid w:val="009261F3"/>
    <w:rsid w:val="009301D9"/>
    <w:rsid w:val="009318D8"/>
    <w:rsid w:val="0093463A"/>
    <w:rsid w:val="009364E5"/>
    <w:rsid w:val="00936AA8"/>
    <w:rsid w:val="00937543"/>
    <w:rsid w:val="00944798"/>
    <w:rsid w:val="009505A8"/>
    <w:rsid w:val="0095126A"/>
    <w:rsid w:val="00956EC5"/>
    <w:rsid w:val="00957C22"/>
    <w:rsid w:val="0096003B"/>
    <w:rsid w:val="0096679F"/>
    <w:rsid w:val="00971DDC"/>
    <w:rsid w:val="00980BA5"/>
    <w:rsid w:val="0098448D"/>
    <w:rsid w:val="0098576C"/>
    <w:rsid w:val="00985C6A"/>
    <w:rsid w:val="0099250C"/>
    <w:rsid w:val="00992DCD"/>
    <w:rsid w:val="0099620B"/>
    <w:rsid w:val="009A3360"/>
    <w:rsid w:val="009A53A4"/>
    <w:rsid w:val="009B0D4F"/>
    <w:rsid w:val="009B52DD"/>
    <w:rsid w:val="009C03A1"/>
    <w:rsid w:val="009C225A"/>
    <w:rsid w:val="009C2300"/>
    <w:rsid w:val="009C3795"/>
    <w:rsid w:val="009D6233"/>
    <w:rsid w:val="009D65AB"/>
    <w:rsid w:val="009E1876"/>
    <w:rsid w:val="009E748B"/>
    <w:rsid w:val="009F0CFD"/>
    <w:rsid w:val="009F127C"/>
    <w:rsid w:val="009F1AD5"/>
    <w:rsid w:val="009F7BB7"/>
    <w:rsid w:val="00A03152"/>
    <w:rsid w:val="00A037EE"/>
    <w:rsid w:val="00A061D1"/>
    <w:rsid w:val="00A11699"/>
    <w:rsid w:val="00A13E53"/>
    <w:rsid w:val="00A14885"/>
    <w:rsid w:val="00A17A6F"/>
    <w:rsid w:val="00A21045"/>
    <w:rsid w:val="00A21DB5"/>
    <w:rsid w:val="00A22250"/>
    <w:rsid w:val="00A228FF"/>
    <w:rsid w:val="00A24846"/>
    <w:rsid w:val="00A34667"/>
    <w:rsid w:val="00A37EE1"/>
    <w:rsid w:val="00A40989"/>
    <w:rsid w:val="00A417EA"/>
    <w:rsid w:val="00A4227F"/>
    <w:rsid w:val="00A530FB"/>
    <w:rsid w:val="00A5395A"/>
    <w:rsid w:val="00A53ED7"/>
    <w:rsid w:val="00A54278"/>
    <w:rsid w:val="00A56401"/>
    <w:rsid w:val="00A57F8B"/>
    <w:rsid w:val="00A62325"/>
    <w:rsid w:val="00A63321"/>
    <w:rsid w:val="00A65348"/>
    <w:rsid w:val="00A736A2"/>
    <w:rsid w:val="00A7378F"/>
    <w:rsid w:val="00A73B20"/>
    <w:rsid w:val="00A773CD"/>
    <w:rsid w:val="00A83E18"/>
    <w:rsid w:val="00A87849"/>
    <w:rsid w:val="00A90F08"/>
    <w:rsid w:val="00A91150"/>
    <w:rsid w:val="00A932C2"/>
    <w:rsid w:val="00A94ED1"/>
    <w:rsid w:val="00A95088"/>
    <w:rsid w:val="00A97070"/>
    <w:rsid w:val="00AA1048"/>
    <w:rsid w:val="00AA16F2"/>
    <w:rsid w:val="00AA7A9D"/>
    <w:rsid w:val="00AB012F"/>
    <w:rsid w:val="00AB1699"/>
    <w:rsid w:val="00AB3416"/>
    <w:rsid w:val="00AB54F9"/>
    <w:rsid w:val="00AC4276"/>
    <w:rsid w:val="00AC5A30"/>
    <w:rsid w:val="00AD015D"/>
    <w:rsid w:val="00AD47D1"/>
    <w:rsid w:val="00AE064F"/>
    <w:rsid w:val="00AE0650"/>
    <w:rsid w:val="00AE3614"/>
    <w:rsid w:val="00AE6D35"/>
    <w:rsid w:val="00AE7865"/>
    <w:rsid w:val="00AF260B"/>
    <w:rsid w:val="00AF2AEC"/>
    <w:rsid w:val="00AF5A10"/>
    <w:rsid w:val="00B10930"/>
    <w:rsid w:val="00B10C0E"/>
    <w:rsid w:val="00B12666"/>
    <w:rsid w:val="00B12BD7"/>
    <w:rsid w:val="00B13653"/>
    <w:rsid w:val="00B14E15"/>
    <w:rsid w:val="00B16C42"/>
    <w:rsid w:val="00B17DB3"/>
    <w:rsid w:val="00B20EA8"/>
    <w:rsid w:val="00B2328C"/>
    <w:rsid w:val="00B25A43"/>
    <w:rsid w:val="00B26031"/>
    <w:rsid w:val="00B36D7B"/>
    <w:rsid w:val="00B4209B"/>
    <w:rsid w:val="00B5335E"/>
    <w:rsid w:val="00B6106C"/>
    <w:rsid w:val="00B719BF"/>
    <w:rsid w:val="00B725FE"/>
    <w:rsid w:val="00B80B2D"/>
    <w:rsid w:val="00B80BAC"/>
    <w:rsid w:val="00B85716"/>
    <w:rsid w:val="00B85789"/>
    <w:rsid w:val="00B86980"/>
    <w:rsid w:val="00B93131"/>
    <w:rsid w:val="00BA2B7E"/>
    <w:rsid w:val="00BB02E5"/>
    <w:rsid w:val="00BB06DF"/>
    <w:rsid w:val="00BB1599"/>
    <w:rsid w:val="00BB2FC6"/>
    <w:rsid w:val="00BD13A9"/>
    <w:rsid w:val="00BD3618"/>
    <w:rsid w:val="00BD6351"/>
    <w:rsid w:val="00BD7389"/>
    <w:rsid w:val="00BE1116"/>
    <w:rsid w:val="00BE3C13"/>
    <w:rsid w:val="00BE4131"/>
    <w:rsid w:val="00BE7A73"/>
    <w:rsid w:val="00C0619D"/>
    <w:rsid w:val="00C126D3"/>
    <w:rsid w:val="00C23AB9"/>
    <w:rsid w:val="00C240B1"/>
    <w:rsid w:val="00C342E0"/>
    <w:rsid w:val="00C406C7"/>
    <w:rsid w:val="00C50168"/>
    <w:rsid w:val="00C55016"/>
    <w:rsid w:val="00C64789"/>
    <w:rsid w:val="00C6506C"/>
    <w:rsid w:val="00C839B2"/>
    <w:rsid w:val="00C84D6D"/>
    <w:rsid w:val="00C9097D"/>
    <w:rsid w:val="00C92DF1"/>
    <w:rsid w:val="00C960D7"/>
    <w:rsid w:val="00CA070E"/>
    <w:rsid w:val="00CA232C"/>
    <w:rsid w:val="00CA3DCD"/>
    <w:rsid w:val="00CA57B0"/>
    <w:rsid w:val="00CA6CDB"/>
    <w:rsid w:val="00CB518E"/>
    <w:rsid w:val="00CD195B"/>
    <w:rsid w:val="00CD29BD"/>
    <w:rsid w:val="00CD3BC6"/>
    <w:rsid w:val="00CE17F9"/>
    <w:rsid w:val="00CE32D8"/>
    <w:rsid w:val="00CF1260"/>
    <w:rsid w:val="00CF6321"/>
    <w:rsid w:val="00D01F5E"/>
    <w:rsid w:val="00D04EE1"/>
    <w:rsid w:val="00D06599"/>
    <w:rsid w:val="00D112D6"/>
    <w:rsid w:val="00D148A6"/>
    <w:rsid w:val="00D15DF6"/>
    <w:rsid w:val="00D16353"/>
    <w:rsid w:val="00D17830"/>
    <w:rsid w:val="00D2351F"/>
    <w:rsid w:val="00D24566"/>
    <w:rsid w:val="00D257C5"/>
    <w:rsid w:val="00D31B47"/>
    <w:rsid w:val="00D32E8D"/>
    <w:rsid w:val="00D33A9B"/>
    <w:rsid w:val="00D34A37"/>
    <w:rsid w:val="00D4452A"/>
    <w:rsid w:val="00D46F6D"/>
    <w:rsid w:val="00D527D4"/>
    <w:rsid w:val="00D53B36"/>
    <w:rsid w:val="00D61B8C"/>
    <w:rsid w:val="00D676BB"/>
    <w:rsid w:val="00D70567"/>
    <w:rsid w:val="00D7212F"/>
    <w:rsid w:val="00D726A0"/>
    <w:rsid w:val="00D76A3C"/>
    <w:rsid w:val="00D85273"/>
    <w:rsid w:val="00D9447B"/>
    <w:rsid w:val="00DA0A67"/>
    <w:rsid w:val="00DA12AB"/>
    <w:rsid w:val="00DA2A65"/>
    <w:rsid w:val="00DA673C"/>
    <w:rsid w:val="00DA69FB"/>
    <w:rsid w:val="00DA70A3"/>
    <w:rsid w:val="00DB4FCB"/>
    <w:rsid w:val="00DB5130"/>
    <w:rsid w:val="00DC10D6"/>
    <w:rsid w:val="00DC37AC"/>
    <w:rsid w:val="00DD1EAA"/>
    <w:rsid w:val="00DD4F12"/>
    <w:rsid w:val="00DE0870"/>
    <w:rsid w:val="00DE138A"/>
    <w:rsid w:val="00DE44A1"/>
    <w:rsid w:val="00DE4CCF"/>
    <w:rsid w:val="00E00132"/>
    <w:rsid w:val="00E04D38"/>
    <w:rsid w:val="00E052C7"/>
    <w:rsid w:val="00E10D5A"/>
    <w:rsid w:val="00E15384"/>
    <w:rsid w:val="00E153F6"/>
    <w:rsid w:val="00E17BCD"/>
    <w:rsid w:val="00E20829"/>
    <w:rsid w:val="00E220D0"/>
    <w:rsid w:val="00E22B90"/>
    <w:rsid w:val="00E25C8F"/>
    <w:rsid w:val="00E26FED"/>
    <w:rsid w:val="00E3700F"/>
    <w:rsid w:val="00E374CC"/>
    <w:rsid w:val="00E4119B"/>
    <w:rsid w:val="00E43842"/>
    <w:rsid w:val="00E6126F"/>
    <w:rsid w:val="00E6721D"/>
    <w:rsid w:val="00E75EBE"/>
    <w:rsid w:val="00E77401"/>
    <w:rsid w:val="00E83328"/>
    <w:rsid w:val="00E91AA8"/>
    <w:rsid w:val="00E943EE"/>
    <w:rsid w:val="00E94DEA"/>
    <w:rsid w:val="00E966D9"/>
    <w:rsid w:val="00EA28AB"/>
    <w:rsid w:val="00EA3902"/>
    <w:rsid w:val="00EA4355"/>
    <w:rsid w:val="00EA5D95"/>
    <w:rsid w:val="00EA7A18"/>
    <w:rsid w:val="00EB229E"/>
    <w:rsid w:val="00EB7983"/>
    <w:rsid w:val="00EB7E6E"/>
    <w:rsid w:val="00EC026F"/>
    <w:rsid w:val="00EC0499"/>
    <w:rsid w:val="00EC3A16"/>
    <w:rsid w:val="00ED371D"/>
    <w:rsid w:val="00ED4903"/>
    <w:rsid w:val="00ED5971"/>
    <w:rsid w:val="00EE290D"/>
    <w:rsid w:val="00EE47AA"/>
    <w:rsid w:val="00EE5D00"/>
    <w:rsid w:val="00EF1002"/>
    <w:rsid w:val="00EF1C11"/>
    <w:rsid w:val="00EF2B3A"/>
    <w:rsid w:val="00F01A21"/>
    <w:rsid w:val="00F02EF8"/>
    <w:rsid w:val="00F06042"/>
    <w:rsid w:val="00F160AB"/>
    <w:rsid w:val="00F16451"/>
    <w:rsid w:val="00F17BD5"/>
    <w:rsid w:val="00F204EA"/>
    <w:rsid w:val="00F25CE3"/>
    <w:rsid w:val="00F275E5"/>
    <w:rsid w:val="00F27B3A"/>
    <w:rsid w:val="00F30688"/>
    <w:rsid w:val="00F3211F"/>
    <w:rsid w:val="00F3242C"/>
    <w:rsid w:val="00F34642"/>
    <w:rsid w:val="00F43D1F"/>
    <w:rsid w:val="00F479AF"/>
    <w:rsid w:val="00F47B46"/>
    <w:rsid w:val="00F569C6"/>
    <w:rsid w:val="00F63644"/>
    <w:rsid w:val="00F65031"/>
    <w:rsid w:val="00F901B0"/>
    <w:rsid w:val="00F966DA"/>
    <w:rsid w:val="00F96D4E"/>
    <w:rsid w:val="00F971EF"/>
    <w:rsid w:val="00FA25E7"/>
    <w:rsid w:val="00FA4439"/>
    <w:rsid w:val="00FB259C"/>
    <w:rsid w:val="00FB32E9"/>
    <w:rsid w:val="00FB58E4"/>
    <w:rsid w:val="00FC0A5E"/>
    <w:rsid w:val="00FC35F0"/>
    <w:rsid w:val="00FC6FD2"/>
    <w:rsid w:val="00FC7AB4"/>
    <w:rsid w:val="00FD7948"/>
    <w:rsid w:val="00FE1515"/>
    <w:rsid w:val="00FE18C0"/>
    <w:rsid w:val="00FF0AAD"/>
    <w:rsid w:val="00FF5F2B"/>
    <w:rsid w:val="0108091E"/>
    <w:rsid w:val="022C1677"/>
    <w:rsid w:val="02683F31"/>
    <w:rsid w:val="02BD3998"/>
    <w:rsid w:val="02EC5B5D"/>
    <w:rsid w:val="033753C5"/>
    <w:rsid w:val="0384788C"/>
    <w:rsid w:val="03B43C8E"/>
    <w:rsid w:val="05B01129"/>
    <w:rsid w:val="05B2517E"/>
    <w:rsid w:val="05EB39F3"/>
    <w:rsid w:val="062024DC"/>
    <w:rsid w:val="06242E53"/>
    <w:rsid w:val="06F875BC"/>
    <w:rsid w:val="0726293E"/>
    <w:rsid w:val="077723F3"/>
    <w:rsid w:val="07C55D5F"/>
    <w:rsid w:val="07D7685D"/>
    <w:rsid w:val="08576960"/>
    <w:rsid w:val="09754CCA"/>
    <w:rsid w:val="09811E46"/>
    <w:rsid w:val="09FC49E2"/>
    <w:rsid w:val="0AEC632F"/>
    <w:rsid w:val="0B422C35"/>
    <w:rsid w:val="0B717E82"/>
    <w:rsid w:val="0B7F57EF"/>
    <w:rsid w:val="0C0029D8"/>
    <w:rsid w:val="0C3C3CDF"/>
    <w:rsid w:val="0C86754F"/>
    <w:rsid w:val="0CB8585F"/>
    <w:rsid w:val="0CD15817"/>
    <w:rsid w:val="0D043F7A"/>
    <w:rsid w:val="0DB1655A"/>
    <w:rsid w:val="0E4C659A"/>
    <w:rsid w:val="0E7F5540"/>
    <w:rsid w:val="0EA11EBC"/>
    <w:rsid w:val="0F996934"/>
    <w:rsid w:val="10917785"/>
    <w:rsid w:val="10D613D1"/>
    <w:rsid w:val="114C755C"/>
    <w:rsid w:val="11561791"/>
    <w:rsid w:val="11D84CE7"/>
    <w:rsid w:val="11FC2994"/>
    <w:rsid w:val="120923E2"/>
    <w:rsid w:val="13800DCC"/>
    <w:rsid w:val="142443E7"/>
    <w:rsid w:val="15896B2E"/>
    <w:rsid w:val="15E60C44"/>
    <w:rsid w:val="15E81E7F"/>
    <w:rsid w:val="194B422B"/>
    <w:rsid w:val="1A3909F7"/>
    <w:rsid w:val="1AA322A7"/>
    <w:rsid w:val="1ABA3EFE"/>
    <w:rsid w:val="1B266C05"/>
    <w:rsid w:val="1BFB735E"/>
    <w:rsid w:val="1CAA1DDB"/>
    <w:rsid w:val="1CD669B9"/>
    <w:rsid w:val="1CFC7830"/>
    <w:rsid w:val="1D1459CF"/>
    <w:rsid w:val="1D214089"/>
    <w:rsid w:val="1DEC355F"/>
    <w:rsid w:val="1E76621C"/>
    <w:rsid w:val="1EE91390"/>
    <w:rsid w:val="1EEF5EF8"/>
    <w:rsid w:val="1F1A24EF"/>
    <w:rsid w:val="1F4C5F86"/>
    <w:rsid w:val="1FA12BE7"/>
    <w:rsid w:val="205E642E"/>
    <w:rsid w:val="20A80DEA"/>
    <w:rsid w:val="20BC0A88"/>
    <w:rsid w:val="20F65190"/>
    <w:rsid w:val="215329A7"/>
    <w:rsid w:val="223D2660"/>
    <w:rsid w:val="22414948"/>
    <w:rsid w:val="22A2475B"/>
    <w:rsid w:val="22E14E60"/>
    <w:rsid w:val="23221DE1"/>
    <w:rsid w:val="233C3F04"/>
    <w:rsid w:val="234110EE"/>
    <w:rsid w:val="236A31AE"/>
    <w:rsid w:val="25354850"/>
    <w:rsid w:val="256418F2"/>
    <w:rsid w:val="256D1E94"/>
    <w:rsid w:val="25810E77"/>
    <w:rsid w:val="25AE3FA1"/>
    <w:rsid w:val="25F33EF8"/>
    <w:rsid w:val="260B2FD9"/>
    <w:rsid w:val="260B32A4"/>
    <w:rsid w:val="268702AF"/>
    <w:rsid w:val="26933187"/>
    <w:rsid w:val="26D94907"/>
    <w:rsid w:val="27592E47"/>
    <w:rsid w:val="27A823C6"/>
    <w:rsid w:val="28B35CBF"/>
    <w:rsid w:val="28DB4E33"/>
    <w:rsid w:val="29793509"/>
    <w:rsid w:val="2A6246E1"/>
    <w:rsid w:val="2A851A2F"/>
    <w:rsid w:val="2A9E4A40"/>
    <w:rsid w:val="2BCE75FB"/>
    <w:rsid w:val="2D23035D"/>
    <w:rsid w:val="2D425ABD"/>
    <w:rsid w:val="2DB17A14"/>
    <w:rsid w:val="2DD0735B"/>
    <w:rsid w:val="2E083BF7"/>
    <w:rsid w:val="2F175EE3"/>
    <w:rsid w:val="2F302C7F"/>
    <w:rsid w:val="2F646F25"/>
    <w:rsid w:val="2F932FF0"/>
    <w:rsid w:val="2FA56BAD"/>
    <w:rsid w:val="3044312F"/>
    <w:rsid w:val="305D5CE9"/>
    <w:rsid w:val="30A350D1"/>
    <w:rsid w:val="31240C67"/>
    <w:rsid w:val="31913905"/>
    <w:rsid w:val="31B74BB1"/>
    <w:rsid w:val="31EB0962"/>
    <w:rsid w:val="320F1266"/>
    <w:rsid w:val="327A411A"/>
    <w:rsid w:val="32FD4EB1"/>
    <w:rsid w:val="33DE4544"/>
    <w:rsid w:val="33F623B9"/>
    <w:rsid w:val="35227326"/>
    <w:rsid w:val="354D5A06"/>
    <w:rsid w:val="36325E56"/>
    <w:rsid w:val="37D43CE3"/>
    <w:rsid w:val="37ED4BAA"/>
    <w:rsid w:val="381D65AC"/>
    <w:rsid w:val="38B16490"/>
    <w:rsid w:val="38FE08D8"/>
    <w:rsid w:val="39DD79A5"/>
    <w:rsid w:val="3A6A6355"/>
    <w:rsid w:val="3A854DE7"/>
    <w:rsid w:val="3AE35762"/>
    <w:rsid w:val="3BDB32BC"/>
    <w:rsid w:val="3BF71853"/>
    <w:rsid w:val="3C7F4A5A"/>
    <w:rsid w:val="3D452C55"/>
    <w:rsid w:val="3DA72F70"/>
    <w:rsid w:val="3DC162FC"/>
    <w:rsid w:val="3E654B3A"/>
    <w:rsid w:val="3EC8510D"/>
    <w:rsid w:val="3FDB75D4"/>
    <w:rsid w:val="41420944"/>
    <w:rsid w:val="4183450D"/>
    <w:rsid w:val="41B7793F"/>
    <w:rsid w:val="43694FC5"/>
    <w:rsid w:val="4403001A"/>
    <w:rsid w:val="44834053"/>
    <w:rsid w:val="44B40008"/>
    <w:rsid w:val="44C70D28"/>
    <w:rsid w:val="45605042"/>
    <w:rsid w:val="460214B6"/>
    <w:rsid w:val="46391636"/>
    <w:rsid w:val="46A77A92"/>
    <w:rsid w:val="46AA2CF1"/>
    <w:rsid w:val="46B54F1C"/>
    <w:rsid w:val="46B72A4C"/>
    <w:rsid w:val="46C12FC8"/>
    <w:rsid w:val="47495976"/>
    <w:rsid w:val="48F63746"/>
    <w:rsid w:val="49EE4451"/>
    <w:rsid w:val="49FA5B75"/>
    <w:rsid w:val="4A75775E"/>
    <w:rsid w:val="4A7D6949"/>
    <w:rsid w:val="4A7F57CD"/>
    <w:rsid w:val="4A89544D"/>
    <w:rsid w:val="4AFE6907"/>
    <w:rsid w:val="4B4672EB"/>
    <w:rsid w:val="4BDB34F5"/>
    <w:rsid w:val="4C647D3C"/>
    <w:rsid w:val="4CB01EC0"/>
    <w:rsid w:val="4CFA2F97"/>
    <w:rsid w:val="4D206414"/>
    <w:rsid w:val="4D8D1924"/>
    <w:rsid w:val="4EFB3B4C"/>
    <w:rsid w:val="4F2F0AF2"/>
    <w:rsid w:val="4FDE1020"/>
    <w:rsid w:val="5035063E"/>
    <w:rsid w:val="506916AC"/>
    <w:rsid w:val="510425AC"/>
    <w:rsid w:val="512D49DF"/>
    <w:rsid w:val="515B3CD6"/>
    <w:rsid w:val="51614EDF"/>
    <w:rsid w:val="51B40036"/>
    <w:rsid w:val="523D6E85"/>
    <w:rsid w:val="52566830"/>
    <w:rsid w:val="528F675A"/>
    <w:rsid w:val="5363569C"/>
    <w:rsid w:val="53915975"/>
    <w:rsid w:val="539A7696"/>
    <w:rsid w:val="54B47C04"/>
    <w:rsid w:val="553D44D4"/>
    <w:rsid w:val="554172FC"/>
    <w:rsid w:val="56B25DBD"/>
    <w:rsid w:val="56F3749F"/>
    <w:rsid w:val="57016A14"/>
    <w:rsid w:val="572124A6"/>
    <w:rsid w:val="58093D9A"/>
    <w:rsid w:val="58115EF4"/>
    <w:rsid w:val="58417B4A"/>
    <w:rsid w:val="58617111"/>
    <w:rsid w:val="58A507BC"/>
    <w:rsid w:val="591201EA"/>
    <w:rsid w:val="593674C5"/>
    <w:rsid w:val="59DC4D27"/>
    <w:rsid w:val="59F11BC7"/>
    <w:rsid w:val="59F12FC7"/>
    <w:rsid w:val="5A5D4C83"/>
    <w:rsid w:val="5AF84F57"/>
    <w:rsid w:val="5B650EAF"/>
    <w:rsid w:val="5C6A71CA"/>
    <w:rsid w:val="5D6A4F8A"/>
    <w:rsid w:val="5DC42E04"/>
    <w:rsid w:val="5ED700C7"/>
    <w:rsid w:val="5F5B35F9"/>
    <w:rsid w:val="5F7018F1"/>
    <w:rsid w:val="5F940B73"/>
    <w:rsid w:val="605E0040"/>
    <w:rsid w:val="606006FD"/>
    <w:rsid w:val="6110004D"/>
    <w:rsid w:val="61164C76"/>
    <w:rsid w:val="6188757E"/>
    <w:rsid w:val="62A84FC1"/>
    <w:rsid w:val="63316192"/>
    <w:rsid w:val="63506C72"/>
    <w:rsid w:val="64040342"/>
    <w:rsid w:val="64151B2C"/>
    <w:rsid w:val="645547E4"/>
    <w:rsid w:val="64D95B82"/>
    <w:rsid w:val="66227358"/>
    <w:rsid w:val="667E2BC8"/>
    <w:rsid w:val="67292F53"/>
    <w:rsid w:val="67743274"/>
    <w:rsid w:val="67957FAB"/>
    <w:rsid w:val="68217031"/>
    <w:rsid w:val="68916848"/>
    <w:rsid w:val="69797C2C"/>
    <w:rsid w:val="6A1A0A73"/>
    <w:rsid w:val="6A7F667C"/>
    <w:rsid w:val="6B7C65BA"/>
    <w:rsid w:val="6BAA395B"/>
    <w:rsid w:val="6BF972C1"/>
    <w:rsid w:val="6C2117FB"/>
    <w:rsid w:val="6C9004BE"/>
    <w:rsid w:val="6DE3633C"/>
    <w:rsid w:val="6E9F35CF"/>
    <w:rsid w:val="6F0319F7"/>
    <w:rsid w:val="6F2A7617"/>
    <w:rsid w:val="6F5E3677"/>
    <w:rsid w:val="6F7A04F8"/>
    <w:rsid w:val="703B6207"/>
    <w:rsid w:val="707413BE"/>
    <w:rsid w:val="70756AA2"/>
    <w:rsid w:val="711A6ED5"/>
    <w:rsid w:val="71A06C84"/>
    <w:rsid w:val="71A12D4A"/>
    <w:rsid w:val="71D403C9"/>
    <w:rsid w:val="727A6FE3"/>
    <w:rsid w:val="72C61A7F"/>
    <w:rsid w:val="73B84BDF"/>
    <w:rsid w:val="740161C4"/>
    <w:rsid w:val="740204EB"/>
    <w:rsid w:val="758D6E11"/>
    <w:rsid w:val="77B4768B"/>
    <w:rsid w:val="77D542C4"/>
    <w:rsid w:val="78B00041"/>
    <w:rsid w:val="79113FB4"/>
    <w:rsid w:val="794C0A43"/>
    <w:rsid w:val="7954315B"/>
    <w:rsid w:val="7A4A6DB6"/>
    <w:rsid w:val="7A53086B"/>
    <w:rsid w:val="7A625516"/>
    <w:rsid w:val="7A6972E2"/>
    <w:rsid w:val="7B3939AA"/>
    <w:rsid w:val="7B8D123D"/>
    <w:rsid w:val="7BE70B95"/>
    <w:rsid w:val="7BF73CE0"/>
    <w:rsid w:val="7CA77E90"/>
    <w:rsid w:val="7D274A0B"/>
    <w:rsid w:val="7DD03503"/>
    <w:rsid w:val="7E741DD2"/>
    <w:rsid w:val="7E815C56"/>
    <w:rsid w:val="7ED9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4523B9-03E6-461A-BDDE-5FD7937C1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pBdr>
        <w:top w:val="none" w:sz="0" w:space="0" w:color="auto"/>
      </w:pBdr>
      <w:spacing w:before="180"/>
      <w:outlineLvl w:val="1"/>
    </w:pPr>
    <w:rPr>
      <w:rFonts w:cs="Times New Roman"/>
      <w:sz w:val="32"/>
      <w:szCs w:val="32"/>
    </w:rPr>
  </w:style>
  <w:style w:type="paragraph" w:styleId="3">
    <w:name w:val="heading 3"/>
    <w:basedOn w:val="a"/>
    <w:next w:val="a"/>
    <w:uiPriority w:val="9"/>
    <w:semiHidden/>
    <w:unhideWhenUsed/>
    <w:qFormat/>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annotation text"/>
    <w:basedOn w:val="a"/>
    <w:link w:val="Char"/>
    <w:uiPriority w:val="99"/>
    <w:qFormat/>
  </w:style>
  <w:style w:type="paragraph" w:styleId="a5">
    <w:name w:val="Body Text"/>
    <w:basedOn w:val="a"/>
    <w:qFormat/>
    <w:pPr>
      <w:spacing w:after="180"/>
    </w:pPr>
    <w:rPr>
      <w:rFonts w:eastAsia="Times New Roman"/>
      <w:lang w:val="en-GB" w:eastAsia="en-US"/>
    </w:rPr>
  </w:style>
  <w:style w:type="paragraph" w:styleId="a6">
    <w:name w:val="Balloon Text"/>
    <w:basedOn w:val="a"/>
    <w:link w:val="Char0"/>
    <w:uiPriority w:val="99"/>
    <w:unhideWhenUsed/>
    <w:qFormat/>
    <w:rPr>
      <w:sz w:val="18"/>
      <w:szCs w:val="18"/>
    </w:rPr>
  </w:style>
  <w:style w:type="paragraph" w:styleId="a7">
    <w:name w:val="footer"/>
    <w:basedOn w:val="a"/>
    <w:semiHidden/>
    <w:qFormat/>
    <w:pPr>
      <w:tabs>
        <w:tab w:val="center" w:pos="4153"/>
        <w:tab w:val="right" w:pos="8306"/>
      </w:tabs>
      <w:snapToGrid w:val="0"/>
      <w:jc w:val="left"/>
    </w:pPr>
    <w:rPr>
      <w:sz w:val="18"/>
      <w:szCs w:val="18"/>
    </w:rPr>
  </w:style>
  <w:style w:type="paragraph" w:styleId="a8">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spacing w:after="180"/>
      <w:ind w:left="568" w:hanging="284"/>
    </w:pPr>
    <w:rPr>
      <w:rFonts w:eastAsia="Times New Roman"/>
      <w:lang w:val="en-GB" w:eastAsia="en-US"/>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FollowedHyperlink"/>
    <w:basedOn w:val="a0"/>
    <w:semiHidden/>
    <w:unhideWhenUsed/>
    <w:qFormat/>
    <w:rPr>
      <w:color w:val="800080"/>
      <w:u w:val="single"/>
    </w:rPr>
  </w:style>
  <w:style w:type="character" w:styleId="af0">
    <w:name w:val="annotation reference"/>
    <w:basedOn w:val="a0"/>
    <w:uiPriority w:val="99"/>
    <w:semiHidden/>
    <w:unhideWhenUsed/>
    <w:qFormat/>
    <w:rPr>
      <w:sz w:val="16"/>
      <w:szCs w:val="16"/>
    </w:rPr>
  </w:style>
  <w:style w:type="character" w:customStyle="1" w:styleId="Char0">
    <w:name w:val="批注框文本 Char"/>
    <w:basedOn w:val="a0"/>
    <w:link w:val="a6"/>
    <w:uiPriority w:val="99"/>
    <w:semiHidden/>
    <w:qFormat/>
    <w:rPr>
      <w:kern w:val="2"/>
      <w:sz w:val="18"/>
      <w:szCs w:val="18"/>
    </w:rPr>
  </w:style>
  <w:style w:type="paragraph" w:customStyle="1" w:styleId="B1">
    <w:name w:val="B1"/>
    <w:basedOn w:val="a9"/>
    <w:qFormat/>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
    <w:qFormat/>
    <w:pPr>
      <w:numPr>
        <w:numId w:val="1"/>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uiPriority w:val="99"/>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af1">
    <w:name w:val="List Paragraph"/>
    <w:basedOn w:val="a"/>
    <w:uiPriority w:val="99"/>
    <w:qFormat/>
    <w:pPr>
      <w:ind w:firstLineChars="200" w:firstLine="420"/>
    </w:pPr>
  </w:style>
  <w:style w:type="paragraph" w:customStyle="1" w:styleId="PatAppBody">
    <w:name w:val="PatApp Body"/>
    <w:basedOn w:val="a"/>
    <w:qFormat/>
    <w:pPr>
      <w:widowControl/>
      <w:numPr>
        <w:numId w:val="2"/>
      </w:numPr>
      <w:spacing w:line="480" w:lineRule="auto"/>
      <w:jc w:val="left"/>
    </w:pPr>
    <w:rPr>
      <w:rFonts w:eastAsia="Times New Roman"/>
      <w:snapToGrid w:val="0"/>
      <w:kern w:val="0"/>
      <w:sz w:val="24"/>
      <w:szCs w:val="20"/>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character" w:customStyle="1" w:styleId="2Char">
    <w:name w:val="标题 2 Char"/>
    <w:basedOn w:val="a0"/>
    <w:link w:val="2"/>
    <w:uiPriority w:val="9"/>
    <w:qFormat/>
    <w:rPr>
      <w:rFonts w:ascii="Arial" w:eastAsia="Times New Roman" w:hAnsi="Arial"/>
      <w:sz w:val="32"/>
      <w:szCs w:val="32"/>
      <w:lang w:val="en-GB"/>
    </w:rPr>
  </w:style>
  <w:style w:type="character" w:customStyle="1" w:styleId="1Char">
    <w:name w:val="标题 1 Char"/>
    <w:link w:val="1"/>
    <w:qFormat/>
    <w:rPr>
      <w:rFonts w:ascii="Arial" w:eastAsia="Times New Roman" w:hAnsi="Arial" w:cs="Arial"/>
      <w:sz w:val="36"/>
      <w:szCs w:val="36"/>
      <w:lang w:val="en-GB"/>
    </w:rPr>
  </w:style>
  <w:style w:type="paragraph" w:customStyle="1" w:styleId="11">
    <w:name w:val="修订1"/>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183298\AppData\Roaming\Microsoft\Templates\&#31192;&#23494;.dotx"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863304-5E71-4A2F-B9A4-0F1EA72A9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秘密</Template>
  <TotalTime>0</TotalTime>
  <Pages>3</Pages>
  <Words>1214</Words>
  <Characters>6921</Characters>
  <Application>Microsoft Office Word</Application>
  <DocSecurity>0</DocSecurity>
  <Lines>57</Lines>
  <Paragraphs>16</Paragraphs>
  <ScaleCrop>false</ScaleCrop>
  <Company>zte</Company>
  <LinksUpToDate>false</LinksUpToDate>
  <CharactersWithSpaces>8119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360</cp:revision>
  <cp:lastPrinted>2113-01-01T00:00:00Z</cp:lastPrinted>
  <dcterms:created xsi:type="dcterms:W3CDTF">2020-08-04T13:41:00Z</dcterms:created>
  <dcterms:modified xsi:type="dcterms:W3CDTF">2021-01-18T07:08:00Z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